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80" w:line="160" w:lineRule="auto"/>
        <w:jc w:val="center"/>
        <w:rPr>
          <w:b w:val="1"/>
          <w:color w:val="000000"/>
          <w:sz w:val="30"/>
          <w:szCs w:val="30"/>
        </w:rPr>
      </w:pPr>
      <w:r w:rsidDel="00000000" w:rsidR="00000000" w:rsidRPr="00000000">
        <w:rPr>
          <w:rFonts w:ascii="Gungsuh" w:cs="Gungsuh" w:eastAsia="Gungsuh" w:hAnsi="Gungsuh"/>
          <w:b w:val="1"/>
          <w:color w:val="000000"/>
          <w:sz w:val="30"/>
          <w:szCs w:val="30"/>
          <w:rtl w:val="0"/>
        </w:rPr>
        <w:t xml:space="preserve">國立陽明交通大學</w:t>
      </w:r>
    </w:p>
    <w:p w:rsidR="00000000" w:rsidDel="00000000" w:rsidP="00000000" w:rsidRDefault="00000000" w:rsidRPr="00000000" w14:paraId="00000002">
      <w:pPr>
        <w:spacing w:before="180" w:line="160" w:lineRule="auto"/>
        <w:jc w:val="center"/>
        <w:rPr/>
      </w:pPr>
      <w:r w:rsidDel="00000000" w:rsidR="00000000" w:rsidRPr="00000000">
        <w:rPr>
          <w:b w:val="1"/>
          <w:color w:val="000000"/>
          <w:sz w:val="30"/>
          <w:szCs w:val="30"/>
          <w:u w:val="single"/>
          <w:rtl w:val="0"/>
        </w:rPr>
        <w:t xml:space="preserve">     </w:t>
      </w:r>
      <w:r w:rsidDel="00000000" w:rsidR="00000000" w:rsidRPr="00000000">
        <w:rPr>
          <w:rFonts w:ascii="Gungsuh" w:cs="Gungsuh" w:eastAsia="Gungsuh" w:hAnsi="Gungsuh"/>
          <w:b w:val="1"/>
          <w:color w:val="000000"/>
          <w:sz w:val="30"/>
          <w:szCs w:val="30"/>
          <w:rtl w:val="0"/>
        </w:rPr>
        <w:t xml:space="preserve"> 學年度 第 </w:t>
      </w:r>
      <w:r w:rsidDel="00000000" w:rsidR="00000000" w:rsidRPr="00000000">
        <w:rPr>
          <w:b w:val="1"/>
          <w:color w:val="000000"/>
          <w:sz w:val="30"/>
          <w:szCs w:val="30"/>
          <w:u w:val="single"/>
          <w:rtl w:val="0"/>
        </w:rPr>
        <w:t xml:space="preserve">   </w:t>
      </w:r>
      <w:r w:rsidDel="00000000" w:rsidR="00000000" w:rsidRPr="00000000">
        <w:rPr>
          <w:rFonts w:ascii="Gungsuh" w:cs="Gungsuh" w:eastAsia="Gungsuh" w:hAnsi="Gungsuh"/>
          <w:b w:val="1"/>
          <w:color w:val="000000"/>
          <w:sz w:val="30"/>
          <w:szCs w:val="30"/>
          <w:rtl w:val="0"/>
        </w:rPr>
        <w:t xml:space="preserve"> 學期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before="180" w:line="160" w:lineRule="auto"/>
        <w:ind w:right="-262"/>
        <w:jc w:val="center"/>
        <w:rPr/>
      </w:pPr>
      <w:r w:rsidDel="00000000" w:rsidR="00000000" w:rsidRPr="00000000">
        <w:rPr>
          <w:rFonts w:ascii="Gungsuh" w:cs="Gungsuh" w:eastAsia="Gungsuh" w:hAnsi="Gungsuh"/>
          <w:b w:val="1"/>
          <w:color w:val="000000"/>
          <w:sz w:val="28"/>
          <w:szCs w:val="28"/>
          <w:rtl w:val="0"/>
        </w:rPr>
        <w:t xml:space="preserve">在職專班與日間學制班次「併班上課理由書」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80" w:line="280" w:lineRule="auto"/>
        <w:ind w:left="9550" w:hanging="9555"/>
        <w:rPr/>
      </w:pPr>
      <w:r w:rsidDel="00000000" w:rsidR="00000000" w:rsidRPr="00000000">
        <w:rPr>
          <w:rFonts w:ascii="Gungsuh" w:cs="Gungsuh" w:eastAsia="Gungsuh" w:hAnsi="Gungsuh"/>
          <w:b w:val="1"/>
          <w:color w:val="000000"/>
          <w:sz w:val="28"/>
          <w:szCs w:val="28"/>
          <w:rtl w:val="0"/>
        </w:rPr>
        <w:t xml:space="preserve">開課單位：                                       專班</w:t>
      </w:r>
      <w:r w:rsidDel="00000000" w:rsidR="00000000" w:rsidRPr="00000000">
        <w:rPr>
          <w:b w:val="1"/>
          <w:color w:val="000000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Fonts w:ascii="Gungsuh" w:cs="Gungsuh" w:eastAsia="Gungsuh" w:hAnsi="Gungsuh"/>
          <w:b w:val="1"/>
          <w:color w:val="000000"/>
          <w:sz w:val="20"/>
          <w:szCs w:val="20"/>
          <w:rtl w:val="0"/>
        </w:rPr>
        <w:t xml:space="preserve">110.3.4更新</w:t>
      </w: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28.0" w:type="dxa"/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rHeight w:val="6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60" w:lineRule="auto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專班總課程數︰     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320" w:lineRule="auto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獨立開課:     門</w:t>
            </w:r>
          </w:p>
          <w:p w:rsidR="00000000" w:rsidDel="00000000" w:rsidP="00000000" w:rsidRDefault="00000000" w:rsidRPr="00000000" w14:paraId="00000007">
            <w:pPr>
              <w:spacing w:line="320" w:lineRule="auto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專班與碩/博合開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:     門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(請續填下表)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ind w:left="2" w:firstLine="11"/>
        <w:rPr/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一、課程併</w:t>
      </w:r>
      <w:r w:rsidDel="00000000" w:rsidR="00000000" w:rsidRPr="00000000">
        <w:rPr>
          <w:rFonts w:ascii="Gungsuh" w:cs="Gungsuh" w:eastAsia="Gungsuh" w:hAnsi="Gungsuh"/>
          <w:b w:val="1"/>
          <w:color w:val="000000"/>
          <w:sz w:val="28"/>
          <w:szCs w:val="28"/>
          <w:rtl w:val="0"/>
        </w:rPr>
        <w:t xml:space="preserve">班</w:t>
      </w: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上課情形(非併班上課之課程免填)</w:t>
      </w:r>
      <w:r w:rsidDel="00000000" w:rsidR="00000000" w:rsidRPr="00000000">
        <w:rPr>
          <w:rtl w:val="0"/>
        </w:rPr>
      </w:r>
    </w:p>
    <w:tbl>
      <w:tblPr>
        <w:tblStyle w:val="Table2"/>
        <w:tblW w:w="10642.0" w:type="dxa"/>
        <w:jc w:val="center"/>
        <w:tblLayout w:type="fixed"/>
        <w:tblLook w:val="0000"/>
      </w:tblPr>
      <w:tblGrid>
        <w:gridCol w:w="3196"/>
        <w:gridCol w:w="1275"/>
        <w:gridCol w:w="851"/>
        <w:gridCol w:w="1134"/>
        <w:gridCol w:w="1276"/>
        <w:gridCol w:w="1275"/>
        <w:gridCol w:w="1635"/>
        <w:tblGridChange w:id="0">
          <w:tblGrid>
            <w:gridCol w:w="3196"/>
            <w:gridCol w:w="1275"/>
            <w:gridCol w:w="851"/>
            <w:gridCol w:w="1134"/>
            <w:gridCol w:w="1276"/>
            <w:gridCol w:w="1275"/>
            <w:gridCol w:w="1635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課程名稱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授課教師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學分數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課程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選別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上課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時間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主開系所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與其他班併班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上課情形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" w:firstLine="11"/>
        <w:jc w:val="both"/>
        <w:rPr/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二、併</w:t>
      </w:r>
      <w:r w:rsidDel="00000000" w:rsidR="00000000" w:rsidRPr="00000000">
        <w:rPr>
          <w:rFonts w:ascii="Gungsuh" w:cs="Gungsuh" w:eastAsia="Gungsuh" w:hAnsi="Gungsuh"/>
          <w:b w:val="1"/>
          <w:color w:val="000000"/>
          <w:sz w:val="28"/>
          <w:szCs w:val="28"/>
          <w:rtl w:val="0"/>
        </w:rPr>
        <w:t xml:space="preserve">班</w:t>
      </w: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上課之理由：</w:t>
      </w: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28.0" w:type="dxa"/>
        <w:tblLayout w:type="fixed"/>
        <w:tblLook w:val="00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before="90" w:line="400" w:lineRule="auto"/>
        <w:rPr/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說明：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20" w:hanging="120"/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1.依「教育部大學辦理招生規定審核作業要點第十點」略以：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進修學士班及在職專班授課時間，應配合在職進修需求彈性規劃；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其必修課程除經該全班學生同意外，不得與日間學制班次併班上課。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80" w:hanging="180"/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2.依據本校「碩士在職專班作業辦法第八條」：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授課應以專班方式辦理為原則，任何課程若須與日間學制班次併班上課，須說明理由，逐級報經相關學院及本校核准，以維持課程品質。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252" w:hanging="252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Gungsuh" w:cs="Gungsuh" w:eastAsia="Gungsuh" w:hAnsi="Gungsuh"/>
          <w:color w:val="000000"/>
          <w:rtl w:val="0"/>
        </w:rPr>
        <w:t xml:space="preserve">.經本委員會通過確定後的(在職專班併班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課程)</w:t>
      </w:r>
      <w:r w:rsidDel="00000000" w:rsidR="00000000" w:rsidRPr="00000000">
        <w:rPr>
          <w:rFonts w:ascii="Gungsuh" w:cs="Gungsuh" w:eastAsia="Gungsuh" w:hAnsi="Gungsuh"/>
          <w:color w:val="000000"/>
          <w:rtl w:val="0"/>
        </w:rPr>
        <w:t xml:space="preserve">課程表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，不得任意變動課程</w:t>
      </w:r>
      <w:r w:rsidDel="00000000" w:rsidR="00000000" w:rsidRPr="00000000">
        <w:rPr>
          <w:rFonts w:ascii="Gungsuh" w:cs="Gungsuh" w:eastAsia="Gungsuh" w:hAnsi="Gungsuh"/>
          <w:color w:val="000000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52" w:hanging="25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開課單位主管簽章：</w:t>
      </w: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u w:val="single"/>
          <w:rtl w:val="0"/>
        </w:rPr>
        <w:t xml:space="preserve">　　 　　　　　      </w:t>
      </w: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   院長簽章：</w:t>
      </w: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u w:val="single"/>
          <w:rtl w:val="0"/>
        </w:rPr>
        <w:t xml:space="preserve">　　     　　　   　　</w:t>
      </w: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　　     　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80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