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E7A" w:rsidRPr="005452F9" w:rsidRDefault="00104E7A" w:rsidP="00104E7A">
      <w:pPr>
        <w:spacing w:line="0" w:lineRule="atLeast"/>
        <w:jc w:val="center"/>
        <w:rPr>
          <w:rFonts w:ascii="標楷體" w:eastAsia="標楷體" w:hAnsi="標楷體"/>
          <w:color w:val="000000"/>
          <w:sz w:val="36"/>
          <w:szCs w:val="36"/>
        </w:rPr>
      </w:pPr>
      <w:bookmarkStart w:id="0" w:name="_GoBack"/>
      <w:bookmarkEnd w:id="0"/>
      <w:r w:rsidRPr="005452F9">
        <w:rPr>
          <w:rFonts w:ascii="標楷體" w:eastAsia="標楷體" w:hAnsi="標楷體" w:hint="eastAsia"/>
          <w:color w:val="000000"/>
          <w:sz w:val="36"/>
          <w:szCs w:val="36"/>
        </w:rPr>
        <w:t>國立交通大學外語課程修習辦法</w:t>
      </w:r>
    </w:p>
    <w:p w:rsidR="00104E7A" w:rsidRPr="005452F9" w:rsidRDefault="00104E7A" w:rsidP="00104E7A">
      <w:pPr>
        <w:spacing w:line="0" w:lineRule="atLeast"/>
        <w:jc w:val="center"/>
        <w:rPr>
          <w:rFonts w:ascii="Arial" w:eastAsia="標楷體" w:hAnsi="Arial" w:cs="Arial"/>
          <w:color w:val="000000"/>
          <w:sz w:val="32"/>
          <w:szCs w:val="32"/>
        </w:rPr>
      </w:pPr>
      <w:r w:rsidRPr="005452F9">
        <w:rPr>
          <w:rFonts w:ascii="Arial" w:eastAsia="標楷體" w:hAnsi="Arial" w:cs="Arial"/>
          <w:color w:val="000000"/>
          <w:sz w:val="32"/>
          <w:szCs w:val="32"/>
        </w:rPr>
        <w:t>NCTU Foreign Language Course Selection Policy</w:t>
      </w:r>
    </w:p>
    <w:p w:rsidR="00104E7A" w:rsidRPr="000C0F1F" w:rsidRDefault="00104E7A" w:rsidP="00104E7A">
      <w:pPr>
        <w:spacing w:line="0" w:lineRule="atLeast"/>
        <w:jc w:val="right"/>
        <w:rPr>
          <w:rFonts w:eastAsia="標楷體"/>
          <w:color w:val="000000"/>
          <w:spacing w:val="-20"/>
          <w:sz w:val="20"/>
          <w:szCs w:val="20"/>
        </w:rPr>
      </w:pPr>
      <w:r w:rsidRPr="000C0F1F">
        <w:rPr>
          <w:rFonts w:eastAsia="標楷體"/>
          <w:color w:val="000000"/>
          <w:sz w:val="20"/>
          <w:szCs w:val="20"/>
        </w:rPr>
        <w:t xml:space="preserve">103.06.05 </w:t>
      </w:r>
      <w:r w:rsidRPr="000C0F1F">
        <w:rPr>
          <w:rFonts w:eastAsia="標楷體" w:hint="eastAsia"/>
          <w:color w:val="000000"/>
          <w:sz w:val="20"/>
          <w:szCs w:val="20"/>
        </w:rPr>
        <w:t>教務會議通過</w:t>
      </w:r>
    </w:p>
    <w:p w:rsidR="00104E7A" w:rsidRPr="009B01A6" w:rsidRDefault="00104E7A" w:rsidP="00104E7A">
      <w:pPr>
        <w:spacing w:line="0" w:lineRule="atLeast"/>
        <w:jc w:val="right"/>
        <w:rPr>
          <w:rFonts w:eastAsia="標楷體"/>
          <w:color w:val="000000"/>
          <w:sz w:val="20"/>
          <w:szCs w:val="20"/>
        </w:rPr>
      </w:pPr>
    </w:p>
    <w:p w:rsidR="00104E7A" w:rsidRPr="00B72BFC" w:rsidRDefault="00104E7A" w:rsidP="00104E7A">
      <w:pPr>
        <w:numPr>
          <w:ilvl w:val="0"/>
          <w:numId w:val="1"/>
        </w:numPr>
        <w:spacing w:line="0" w:lineRule="atLeast"/>
        <w:jc w:val="both"/>
        <w:rPr>
          <w:rFonts w:eastAsia="標楷體"/>
          <w:color w:val="000000"/>
        </w:rPr>
      </w:pPr>
      <w:r w:rsidRPr="00B72BFC">
        <w:rPr>
          <w:rFonts w:eastAsia="標楷體" w:hAnsi="標楷體" w:hint="eastAsia"/>
          <w:color w:val="000000"/>
        </w:rPr>
        <w:t>外語課程包括「英文基礎課程」四學分，「英文進階課程」或「第二外語課程」二至四學分；各學院學生另應符合所屬院系之相關規定。</w:t>
      </w:r>
    </w:p>
    <w:p w:rsidR="00104E7A" w:rsidRPr="00B72BFC" w:rsidRDefault="00104E7A" w:rsidP="00104E7A">
      <w:pPr>
        <w:spacing w:line="0" w:lineRule="atLeast"/>
        <w:ind w:left="482"/>
        <w:jc w:val="both"/>
        <w:rPr>
          <w:rFonts w:eastAsia="標楷體"/>
          <w:color w:val="000000"/>
        </w:rPr>
      </w:pPr>
      <w:r w:rsidRPr="00B72BFC">
        <w:rPr>
          <w:rFonts w:eastAsia="標楷體"/>
          <w:color w:val="000000"/>
        </w:rPr>
        <w:t>Foreign language courses include four credits of “Basic English”, and two to four credits of “Advanced English” or “Second Foreign Language”.</w:t>
      </w:r>
      <w:r w:rsidRPr="00B72BFC">
        <w:rPr>
          <w:color w:val="000000"/>
        </w:rPr>
        <w:t xml:space="preserve"> </w:t>
      </w:r>
      <w:r w:rsidRPr="00B72BFC">
        <w:rPr>
          <w:rFonts w:eastAsia="標楷體"/>
          <w:color w:val="000000"/>
        </w:rPr>
        <w:t>Students must take these courses in accordance with the requirements of their respective colleges and departments.</w:t>
      </w:r>
    </w:p>
    <w:p w:rsidR="00104E7A" w:rsidRPr="00B72BFC" w:rsidRDefault="00104E7A" w:rsidP="00104E7A">
      <w:pPr>
        <w:spacing w:line="0" w:lineRule="atLeast"/>
        <w:ind w:left="480"/>
        <w:jc w:val="both"/>
        <w:rPr>
          <w:rFonts w:eastAsia="標楷體"/>
          <w:color w:val="000000"/>
        </w:rPr>
      </w:pPr>
    </w:p>
    <w:p w:rsidR="00104E7A" w:rsidRPr="00B72BFC" w:rsidRDefault="00104E7A" w:rsidP="00104E7A">
      <w:pPr>
        <w:numPr>
          <w:ilvl w:val="0"/>
          <w:numId w:val="1"/>
        </w:numPr>
        <w:spacing w:line="0" w:lineRule="atLeast"/>
        <w:jc w:val="both"/>
        <w:rPr>
          <w:rFonts w:eastAsia="標楷體"/>
          <w:color w:val="000000"/>
        </w:rPr>
      </w:pPr>
      <w:r w:rsidRPr="00B72BFC">
        <w:rPr>
          <w:rFonts w:eastAsia="標楷體" w:hAnsi="標楷體" w:hint="eastAsia"/>
          <w:color w:val="000000"/>
        </w:rPr>
        <w:t>大一學生符合下列條件之一者，得申請抵免所有英語課程，並授予學分數（依各院規定辦理）：</w:t>
      </w:r>
    </w:p>
    <w:p w:rsidR="00104E7A" w:rsidRPr="00B72BFC" w:rsidRDefault="00104E7A" w:rsidP="00104E7A">
      <w:pPr>
        <w:numPr>
          <w:ilvl w:val="1"/>
          <w:numId w:val="1"/>
        </w:numPr>
        <w:spacing w:line="0" w:lineRule="atLeast"/>
        <w:jc w:val="both"/>
        <w:rPr>
          <w:rFonts w:eastAsia="標楷體"/>
          <w:color w:val="000000"/>
        </w:rPr>
      </w:pPr>
      <w:r w:rsidRPr="00B72BFC">
        <w:rPr>
          <w:rFonts w:eastAsia="標楷體" w:hAnsi="標楷體" w:hint="eastAsia"/>
          <w:color w:val="000000"/>
        </w:rPr>
        <w:t>通過全民英語能力分級檢定中高級初試及複試</w:t>
      </w:r>
    </w:p>
    <w:p w:rsidR="00104E7A" w:rsidRPr="00B72BFC" w:rsidRDefault="00104E7A" w:rsidP="00104E7A">
      <w:pPr>
        <w:numPr>
          <w:ilvl w:val="1"/>
          <w:numId w:val="1"/>
        </w:numPr>
        <w:spacing w:line="0" w:lineRule="atLeast"/>
        <w:jc w:val="both"/>
        <w:rPr>
          <w:rFonts w:eastAsia="標楷體"/>
          <w:color w:val="000000"/>
        </w:rPr>
      </w:pPr>
      <w:r w:rsidRPr="00B72BFC">
        <w:rPr>
          <w:rFonts w:eastAsia="標楷體" w:hAnsi="標楷體" w:hint="eastAsia"/>
          <w:color w:val="000000"/>
        </w:rPr>
        <w:t>托福（含托福</w:t>
      </w:r>
      <w:r w:rsidRPr="00B72BFC">
        <w:rPr>
          <w:rFonts w:eastAsia="標楷體"/>
          <w:color w:val="000000"/>
        </w:rPr>
        <w:t>ITP</w:t>
      </w:r>
      <w:r w:rsidRPr="00B72BFC">
        <w:rPr>
          <w:rFonts w:eastAsia="標楷體" w:hAnsi="標楷體" w:hint="eastAsia"/>
          <w:color w:val="000000"/>
        </w:rPr>
        <w:t>測驗）</w:t>
      </w:r>
      <w:r w:rsidRPr="00B72BFC">
        <w:rPr>
          <w:rFonts w:eastAsia="標楷體"/>
          <w:color w:val="000000"/>
        </w:rPr>
        <w:t>580</w:t>
      </w:r>
      <w:r w:rsidRPr="00B72BFC">
        <w:rPr>
          <w:rFonts w:eastAsia="標楷體" w:hAnsi="標楷體" w:hint="eastAsia"/>
          <w:color w:val="000000"/>
        </w:rPr>
        <w:t>分（含）以上</w:t>
      </w:r>
    </w:p>
    <w:p w:rsidR="00104E7A" w:rsidRPr="00B72BFC" w:rsidRDefault="00104E7A" w:rsidP="00104E7A">
      <w:pPr>
        <w:numPr>
          <w:ilvl w:val="1"/>
          <w:numId w:val="1"/>
        </w:numPr>
        <w:spacing w:line="0" w:lineRule="atLeast"/>
        <w:jc w:val="both"/>
        <w:rPr>
          <w:rFonts w:eastAsia="標楷體"/>
          <w:color w:val="000000"/>
        </w:rPr>
      </w:pPr>
      <w:r w:rsidRPr="00B72BFC">
        <w:rPr>
          <w:rFonts w:eastAsia="標楷體" w:hAnsi="標楷體" w:hint="eastAsia"/>
          <w:color w:val="000000"/>
        </w:rPr>
        <w:t>電腦托福</w:t>
      </w:r>
      <w:r w:rsidRPr="00B72BFC">
        <w:rPr>
          <w:rFonts w:eastAsia="標楷體"/>
          <w:color w:val="000000"/>
        </w:rPr>
        <w:t>237</w:t>
      </w:r>
      <w:r w:rsidRPr="00B72BFC">
        <w:rPr>
          <w:rFonts w:eastAsia="標楷體" w:hAnsi="標楷體" w:hint="eastAsia"/>
          <w:color w:val="000000"/>
        </w:rPr>
        <w:t>分（含）以上</w:t>
      </w:r>
    </w:p>
    <w:p w:rsidR="00104E7A" w:rsidRPr="00B72BFC" w:rsidRDefault="00104E7A" w:rsidP="00104E7A">
      <w:pPr>
        <w:numPr>
          <w:ilvl w:val="1"/>
          <w:numId w:val="1"/>
        </w:numPr>
        <w:spacing w:line="0" w:lineRule="atLeast"/>
        <w:jc w:val="both"/>
        <w:rPr>
          <w:rFonts w:eastAsia="標楷體"/>
          <w:color w:val="000000"/>
        </w:rPr>
      </w:pPr>
      <w:r w:rsidRPr="00B72BFC">
        <w:rPr>
          <w:rFonts w:eastAsia="標楷體" w:hAnsi="標楷體" w:hint="eastAsia"/>
          <w:color w:val="000000"/>
        </w:rPr>
        <w:t>新網路托福</w:t>
      </w:r>
      <w:r w:rsidRPr="00B72BFC">
        <w:rPr>
          <w:rFonts w:eastAsia="標楷體"/>
          <w:color w:val="000000"/>
        </w:rPr>
        <w:t>92</w:t>
      </w:r>
      <w:r w:rsidRPr="00B72BFC">
        <w:rPr>
          <w:rFonts w:eastAsia="標楷體" w:hAnsi="標楷體" w:hint="eastAsia"/>
          <w:color w:val="000000"/>
        </w:rPr>
        <w:t>分</w:t>
      </w:r>
      <w:r w:rsidRPr="00B72BFC">
        <w:rPr>
          <w:rFonts w:eastAsia="標楷體"/>
          <w:color w:val="000000"/>
        </w:rPr>
        <w:t>(</w:t>
      </w:r>
      <w:r w:rsidRPr="00B72BFC">
        <w:rPr>
          <w:rFonts w:eastAsia="標楷體" w:hAnsi="標楷體" w:hint="eastAsia"/>
          <w:color w:val="000000"/>
        </w:rPr>
        <w:t>含</w:t>
      </w:r>
      <w:r w:rsidRPr="00B72BFC">
        <w:rPr>
          <w:rFonts w:eastAsia="標楷體"/>
          <w:color w:val="000000"/>
        </w:rPr>
        <w:t>)</w:t>
      </w:r>
      <w:r w:rsidRPr="00B72BFC">
        <w:rPr>
          <w:rFonts w:eastAsia="標楷體" w:hAnsi="標楷體" w:hint="eastAsia"/>
          <w:color w:val="000000"/>
        </w:rPr>
        <w:t>以上</w:t>
      </w:r>
    </w:p>
    <w:p w:rsidR="00104E7A" w:rsidRPr="00B72BFC" w:rsidRDefault="00104E7A" w:rsidP="00104E7A">
      <w:pPr>
        <w:numPr>
          <w:ilvl w:val="1"/>
          <w:numId w:val="1"/>
        </w:numPr>
        <w:spacing w:line="0" w:lineRule="atLeast"/>
        <w:jc w:val="both"/>
        <w:rPr>
          <w:rFonts w:eastAsia="標楷體"/>
          <w:color w:val="000000"/>
        </w:rPr>
      </w:pPr>
      <w:r w:rsidRPr="00B72BFC">
        <w:rPr>
          <w:rFonts w:eastAsia="標楷體" w:hAnsi="標楷體" w:hint="eastAsia"/>
          <w:color w:val="000000"/>
        </w:rPr>
        <w:t>國際英語測試（</w:t>
      </w:r>
      <w:r w:rsidRPr="00B72BFC">
        <w:rPr>
          <w:rFonts w:eastAsia="標楷體"/>
          <w:color w:val="000000"/>
        </w:rPr>
        <w:t>IELTS</w:t>
      </w:r>
      <w:r w:rsidRPr="00B72BFC">
        <w:rPr>
          <w:rFonts w:eastAsia="標楷體" w:hAnsi="標楷體" w:hint="eastAsia"/>
          <w:color w:val="000000"/>
        </w:rPr>
        <w:t>）</w:t>
      </w:r>
      <w:r w:rsidRPr="00B72BFC">
        <w:rPr>
          <w:rFonts w:eastAsia="標楷體"/>
          <w:color w:val="000000"/>
        </w:rPr>
        <w:t>7</w:t>
      </w:r>
      <w:r w:rsidRPr="00B72BFC">
        <w:rPr>
          <w:rFonts w:eastAsia="標楷體" w:hAnsi="標楷體" w:hint="eastAsia"/>
          <w:color w:val="000000"/>
        </w:rPr>
        <w:t>級（含）以上</w:t>
      </w:r>
    </w:p>
    <w:p w:rsidR="00104E7A" w:rsidRPr="00B72BFC" w:rsidRDefault="00104E7A" w:rsidP="00104E7A">
      <w:pPr>
        <w:numPr>
          <w:ilvl w:val="1"/>
          <w:numId w:val="1"/>
        </w:numPr>
        <w:spacing w:line="0" w:lineRule="atLeast"/>
        <w:jc w:val="both"/>
        <w:rPr>
          <w:rFonts w:eastAsia="標楷體"/>
          <w:color w:val="000000"/>
        </w:rPr>
      </w:pPr>
      <w:r w:rsidRPr="00B72BFC">
        <w:rPr>
          <w:rFonts w:eastAsia="標楷體" w:hAnsi="標楷體" w:hint="eastAsia"/>
          <w:color w:val="000000"/>
        </w:rPr>
        <w:t>多益測驗（</w:t>
      </w:r>
      <w:r w:rsidRPr="00B72BFC">
        <w:rPr>
          <w:rFonts w:eastAsia="標楷體"/>
          <w:color w:val="000000"/>
        </w:rPr>
        <w:t>TOEIC</w:t>
      </w:r>
      <w:r w:rsidRPr="00B72BFC">
        <w:rPr>
          <w:rFonts w:eastAsia="標楷體" w:hAnsi="標楷體" w:hint="eastAsia"/>
          <w:color w:val="000000"/>
        </w:rPr>
        <w:t>）</w:t>
      </w:r>
      <w:r w:rsidRPr="00B72BFC">
        <w:rPr>
          <w:rFonts w:eastAsia="標楷體"/>
          <w:color w:val="000000"/>
        </w:rPr>
        <w:t>860</w:t>
      </w:r>
      <w:r w:rsidRPr="00B72BFC">
        <w:rPr>
          <w:rFonts w:eastAsia="標楷體" w:hAnsi="標楷體" w:hint="eastAsia"/>
          <w:color w:val="000000"/>
        </w:rPr>
        <w:t>分（含）以上</w:t>
      </w:r>
    </w:p>
    <w:p w:rsidR="00104E7A" w:rsidRPr="00B72BFC" w:rsidRDefault="00104E7A" w:rsidP="00104E7A">
      <w:pPr>
        <w:spacing w:line="0" w:lineRule="atLeast"/>
        <w:ind w:left="480"/>
        <w:jc w:val="both"/>
        <w:rPr>
          <w:rFonts w:eastAsia="標楷體"/>
          <w:color w:val="000000"/>
        </w:rPr>
      </w:pPr>
      <w:r w:rsidRPr="00B72BFC">
        <w:rPr>
          <w:rFonts w:eastAsia="標楷體"/>
          <w:color w:val="000000"/>
        </w:rPr>
        <w:t>Freshman students who meet any of the following requirements may apply for an exemption from all English courses and receive credits for the respective courses (in accordance with the policies of the respective colleges):</w:t>
      </w:r>
    </w:p>
    <w:p w:rsidR="00104E7A" w:rsidRPr="00B72BFC" w:rsidRDefault="00104E7A" w:rsidP="00B72BFC">
      <w:pPr>
        <w:spacing w:line="0" w:lineRule="atLeast"/>
        <w:ind w:leftChars="225" w:left="900" w:hangingChars="150" w:hanging="360"/>
        <w:jc w:val="both"/>
        <w:rPr>
          <w:rFonts w:eastAsia="標楷體"/>
          <w:color w:val="000000"/>
        </w:rPr>
      </w:pPr>
      <w:r w:rsidRPr="00B72BFC">
        <w:rPr>
          <w:rFonts w:eastAsia="標楷體"/>
          <w:color w:val="000000"/>
        </w:rPr>
        <w:t>(1) A passing score on both Stages 1 and 2 of the High-Intermediate Level of the General English Proficiency Test (GEPT)</w:t>
      </w:r>
    </w:p>
    <w:p w:rsidR="00104E7A" w:rsidRPr="00B72BFC" w:rsidRDefault="00104E7A" w:rsidP="00B72BFC">
      <w:pPr>
        <w:spacing w:line="0" w:lineRule="atLeast"/>
        <w:ind w:leftChars="225" w:left="1320" w:hangingChars="325" w:hanging="780"/>
        <w:jc w:val="both"/>
        <w:rPr>
          <w:rFonts w:eastAsia="標楷體"/>
          <w:color w:val="000000"/>
        </w:rPr>
      </w:pPr>
      <w:r w:rsidRPr="00B72BFC">
        <w:rPr>
          <w:rFonts w:eastAsia="標楷體"/>
          <w:color w:val="000000"/>
        </w:rPr>
        <w:t>(2) A TOEFL (including ITP) score of 580 or higher</w:t>
      </w:r>
    </w:p>
    <w:p w:rsidR="00104E7A" w:rsidRPr="00B72BFC" w:rsidRDefault="00104E7A" w:rsidP="00B72BFC">
      <w:pPr>
        <w:spacing w:line="0" w:lineRule="atLeast"/>
        <w:ind w:leftChars="225" w:left="1320" w:hangingChars="325" w:hanging="780"/>
        <w:jc w:val="both"/>
        <w:rPr>
          <w:rFonts w:eastAsia="標楷體"/>
          <w:color w:val="000000"/>
        </w:rPr>
      </w:pPr>
      <w:r w:rsidRPr="00B72BFC">
        <w:rPr>
          <w:rFonts w:eastAsia="標楷體"/>
          <w:color w:val="000000"/>
        </w:rPr>
        <w:t>(3) A TOEFL CBT score of 237 or higher</w:t>
      </w:r>
    </w:p>
    <w:p w:rsidR="00104E7A" w:rsidRPr="00B72BFC" w:rsidRDefault="00104E7A" w:rsidP="00B72BFC">
      <w:pPr>
        <w:spacing w:line="0" w:lineRule="atLeast"/>
        <w:ind w:leftChars="225" w:left="1320" w:hangingChars="325" w:hanging="780"/>
        <w:jc w:val="both"/>
        <w:rPr>
          <w:rFonts w:eastAsia="標楷體"/>
          <w:color w:val="000000"/>
        </w:rPr>
      </w:pPr>
      <w:r w:rsidRPr="00B72BFC">
        <w:rPr>
          <w:rFonts w:eastAsia="標楷體"/>
          <w:color w:val="000000"/>
        </w:rPr>
        <w:t>(4) A TOEFL iBT score of 92 or higher</w:t>
      </w:r>
    </w:p>
    <w:p w:rsidR="00104E7A" w:rsidRPr="00B72BFC" w:rsidRDefault="00104E7A" w:rsidP="00B72BFC">
      <w:pPr>
        <w:spacing w:line="0" w:lineRule="atLeast"/>
        <w:ind w:leftChars="225" w:left="1320" w:hangingChars="325" w:hanging="780"/>
        <w:jc w:val="both"/>
        <w:rPr>
          <w:rFonts w:eastAsia="標楷體"/>
          <w:color w:val="000000"/>
        </w:rPr>
      </w:pPr>
      <w:r w:rsidRPr="00B72BFC">
        <w:rPr>
          <w:rFonts w:eastAsia="標楷體"/>
          <w:color w:val="000000"/>
        </w:rPr>
        <w:t>(5) Band 7 or higher on the International English Language Teaching System (IELTS)</w:t>
      </w:r>
    </w:p>
    <w:p w:rsidR="00104E7A" w:rsidRPr="00B72BFC" w:rsidRDefault="00104E7A" w:rsidP="00B72BFC">
      <w:pPr>
        <w:spacing w:line="0" w:lineRule="atLeast"/>
        <w:ind w:leftChars="225" w:left="1320" w:hangingChars="325" w:hanging="780"/>
        <w:jc w:val="both"/>
        <w:rPr>
          <w:rFonts w:eastAsia="標楷體"/>
          <w:color w:val="000000"/>
        </w:rPr>
      </w:pPr>
      <w:r w:rsidRPr="00B72BFC">
        <w:rPr>
          <w:rFonts w:eastAsia="標楷體"/>
          <w:color w:val="000000"/>
        </w:rPr>
        <w:t>(6) A TOEIC score of 860 or higher</w:t>
      </w:r>
    </w:p>
    <w:p w:rsidR="00104E7A" w:rsidRPr="00B72BFC" w:rsidRDefault="00104E7A" w:rsidP="00104E7A">
      <w:pPr>
        <w:spacing w:line="0" w:lineRule="atLeast"/>
        <w:ind w:left="480"/>
        <w:jc w:val="both"/>
        <w:rPr>
          <w:rFonts w:eastAsia="標楷體"/>
          <w:color w:val="000000"/>
        </w:rPr>
      </w:pPr>
    </w:p>
    <w:p w:rsidR="00104E7A" w:rsidRPr="00B72BFC" w:rsidRDefault="00104E7A" w:rsidP="00104E7A">
      <w:pPr>
        <w:numPr>
          <w:ilvl w:val="0"/>
          <w:numId w:val="1"/>
        </w:numPr>
        <w:spacing w:line="0" w:lineRule="atLeast"/>
        <w:jc w:val="both"/>
        <w:rPr>
          <w:rFonts w:eastAsia="標楷體"/>
          <w:color w:val="000000"/>
        </w:rPr>
      </w:pPr>
      <w:r w:rsidRPr="00B72BFC">
        <w:rPr>
          <w:rFonts w:eastAsia="標楷體" w:hAnsi="標楷體" w:hint="eastAsia"/>
          <w:color w:val="000000"/>
        </w:rPr>
        <w:t>大一學生符合下列條件之一者，其原需修習之『英文基礎課程』四學分，亦可選擇修習『英文進階課程』或『第二外語課程』</w:t>
      </w:r>
    </w:p>
    <w:p w:rsidR="00104E7A" w:rsidRPr="00B72BFC" w:rsidRDefault="00104E7A" w:rsidP="00104E7A">
      <w:pPr>
        <w:numPr>
          <w:ilvl w:val="2"/>
          <w:numId w:val="1"/>
        </w:numPr>
        <w:tabs>
          <w:tab w:val="clear" w:pos="1560"/>
        </w:tabs>
        <w:spacing w:line="0" w:lineRule="atLeast"/>
        <w:ind w:left="1260" w:hanging="720"/>
        <w:jc w:val="both"/>
        <w:rPr>
          <w:rFonts w:eastAsia="標楷體" w:hAnsi="標楷體"/>
          <w:color w:val="000000"/>
        </w:rPr>
      </w:pPr>
      <w:r w:rsidRPr="00B72BFC">
        <w:rPr>
          <w:rFonts w:eastAsia="標楷體" w:hAnsi="標楷體" w:hint="eastAsia"/>
          <w:color w:val="000000"/>
        </w:rPr>
        <w:t>入學時學科能力測驗英文成績達</w:t>
      </w:r>
      <w:r w:rsidRPr="00B72BFC">
        <w:rPr>
          <w:rFonts w:eastAsia="標楷體" w:hAnsi="標楷體"/>
          <w:color w:val="000000"/>
        </w:rPr>
        <w:t>15</w:t>
      </w:r>
      <w:r w:rsidRPr="00B72BFC">
        <w:rPr>
          <w:rFonts w:eastAsia="標楷體" w:hAnsi="標楷體" w:hint="eastAsia"/>
          <w:color w:val="000000"/>
        </w:rPr>
        <w:t>級分</w:t>
      </w:r>
    </w:p>
    <w:p w:rsidR="00104E7A" w:rsidRPr="00B72BFC" w:rsidRDefault="00104E7A" w:rsidP="00104E7A">
      <w:pPr>
        <w:numPr>
          <w:ilvl w:val="2"/>
          <w:numId w:val="1"/>
        </w:numPr>
        <w:tabs>
          <w:tab w:val="clear" w:pos="1560"/>
        </w:tabs>
        <w:spacing w:line="0" w:lineRule="atLeast"/>
        <w:ind w:left="1260" w:hanging="720"/>
        <w:jc w:val="both"/>
        <w:rPr>
          <w:rFonts w:eastAsia="標楷體" w:hAnsi="標楷體"/>
          <w:color w:val="000000"/>
        </w:rPr>
      </w:pPr>
      <w:r w:rsidRPr="00B72BFC">
        <w:rPr>
          <w:rFonts w:eastAsia="標楷體" w:hAnsi="標楷體" w:hint="eastAsia"/>
          <w:color w:val="000000"/>
        </w:rPr>
        <w:t>入學指定考試科目英文成績達本校前</w:t>
      </w:r>
      <w:r w:rsidRPr="00B72BFC">
        <w:rPr>
          <w:rFonts w:eastAsia="標楷體" w:hAnsi="標楷體"/>
          <w:color w:val="000000"/>
        </w:rPr>
        <w:t>10</w:t>
      </w:r>
      <w:r w:rsidRPr="00B72BFC">
        <w:rPr>
          <w:rFonts w:eastAsia="標楷體" w:hAnsi="標楷體" w:hint="eastAsia"/>
          <w:color w:val="000000"/>
        </w:rPr>
        <w:t>％者</w:t>
      </w:r>
    </w:p>
    <w:p w:rsidR="00104E7A" w:rsidRPr="00B72BFC" w:rsidRDefault="00104E7A" w:rsidP="00104E7A">
      <w:pPr>
        <w:numPr>
          <w:ilvl w:val="2"/>
          <w:numId w:val="1"/>
        </w:numPr>
        <w:tabs>
          <w:tab w:val="clear" w:pos="1560"/>
        </w:tabs>
        <w:spacing w:line="0" w:lineRule="atLeast"/>
        <w:ind w:left="1260" w:hanging="720"/>
        <w:jc w:val="both"/>
        <w:rPr>
          <w:rFonts w:eastAsia="標楷體"/>
          <w:color w:val="000000"/>
        </w:rPr>
      </w:pPr>
      <w:r w:rsidRPr="00B72BFC">
        <w:rPr>
          <w:rFonts w:eastAsia="標楷體" w:hAnsi="標楷體" w:hint="eastAsia"/>
          <w:color w:val="000000"/>
        </w:rPr>
        <w:t>通過全民英語能力分級檢定中高級初試</w:t>
      </w:r>
    </w:p>
    <w:p w:rsidR="00104E7A" w:rsidRPr="00B72BFC" w:rsidRDefault="00104E7A" w:rsidP="00104E7A">
      <w:pPr>
        <w:numPr>
          <w:ilvl w:val="2"/>
          <w:numId w:val="1"/>
        </w:numPr>
        <w:tabs>
          <w:tab w:val="clear" w:pos="1560"/>
        </w:tabs>
        <w:spacing w:line="0" w:lineRule="atLeast"/>
        <w:ind w:left="1260" w:hanging="720"/>
        <w:jc w:val="both"/>
        <w:rPr>
          <w:rFonts w:eastAsia="標楷體"/>
          <w:color w:val="000000"/>
        </w:rPr>
      </w:pPr>
      <w:r w:rsidRPr="00B72BFC">
        <w:rPr>
          <w:rFonts w:eastAsia="標楷體" w:hAnsi="標楷體" w:hint="eastAsia"/>
          <w:color w:val="000000"/>
        </w:rPr>
        <w:t>托福（含托福</w:t>
      </w:r>
      <w:r w:rsidRPr="00B72BFC">
        <w:rPr>
          <w:rFonts w:eastAsia="標楷體"/>
          <w:color w:val="000000"/>
        </w:rPr>
        <w:t>ITP</w:t>
      </w:r>
      <w:r w:rsidRPr="00B72BFC">
        <w:rPr>
          <w:rFonts w:eastAsia="標楷體" w:hAnsi="標楷體" w:hint="eastAsia"/>
          <w:color w:val="000000"/>
        </w:rPr>
        <w:t>測驗）</w:t>
      </w:r>
      <w:r w:rsidRPr="00B72BFC">
        <w:rPr>
          <w:rFonts w:eastAsia="標楷體"/>
          <w:color w:val="000000"/>
        </w:rPr>
        <w:t>550</w:t>
      </w:r>
      <w:r w:rsidRPr="00B72BFC">
        <w:rPr>
          <w:rFonts w:eastAsia="標楷體" w:hAnsi="標楷體" w:hint="eastAsia"/>
          <w:color w:val="000000"/>
        </w:rPr>
        <w:t>分（含）以上</w:t>
      </w:r>
    </w:p>
    <w:p w:rsidR="00104E7A" w:rsidRPr="00B72BFC" w:rsidRDefault="00104E7A" w:rsidP="00104E7A">
      <w:pPr>
        <w:numPr>
          <w:ilvl w:val="2"/>
          <w:numId w:val="1"/>
        </w:numPr>
        <w:tabs>
          <w:tab w:val="clear" w:pos="1560"/>
        </w:tabs>
        <w:spacing w:line="0" w:lineRule="atLeast"/>
        <w:ind w:left="1260" w:hanging="720"/>
        <w:jc w:val="both"/>
        <w:rPr>
          <w:rFonts w:eastAsia="標楷體"/>
          <w:color w:val="000000"/>
        </w:rPr>
      </w:pPr>
      <w:r w:rsidRPr="00B72BFC">
        <w:rPr>
          <w:rFonts w:eastAsia="標楷體" w:hAnsi="標楷體" w:hint="eastAsia"/>
          <w:color w:val="000000"/>
        </w:rPr>
        <w:t>電腦托福</w:t>
      </w:r>
      <w:r w:rsidRPr="00B72BFC">
        <w:rPr>
          <w:rFonts w:eastAsia="標楷體"/>
          <w:color w:val="000000"/>
        </w:rPr>
        <w:t>213</w:t>
      </w:r>
      <w:r w:rsidRPr="00B72BFC">
        <w:rPr>
          <w:rFonts w:eastAsia="標楷體" w:hAnsi="標楷體" w:hint="eastAsia"/>
          <w:color w:val="000000"/>
        </w:rPr>
        <w:t>分（含）以上</w:t>
      </w:r>
    </w:p>
    <w:p w:rsidR="00104E7A" w:rsidRPr="00B72BFC" w:rsidRDefault="00104E7A" w:rsidP="00104E7A">
      <w:pPr>
        <w:numPr>
          <w:ilvl w:val="2"/>
          <w:numId w:val="1"/>
        </w:numPr>
        <w:tabs>
          <w:tab w:val="clear" w:pos="1560"/>
        </w:tabs>
        <w:spacing w:line="0" w:lineRule="atLeast"/>
        <w:ind w:left="1260" w:hanging="720"/>
        <w:jc w:val="both"/>
        <w:rPr>
          <w:rFonts w:eastAsia="標楷體"/>
          <w:color w:val="000000"/>
        </w:rPr>
      </w:pPr>
      <w:r w:rsidRPr="00B72BFC">
        <w:rPr>
          <w:rFonts w:eastAsia="標楷體" w:hAnsi="標楷體" w:hint="eastAsia"/>
          <w:color w:val="000000"/>
        </w:rPr>
        <w:t>新網路托福</w:t>
      </w:r>
      <w:r w:rsidRPr="00B72BFC">
        <w:rPr>
          <w:rFonts w:eastAsia="標楷體"/>
          <w:color w:val="000000"/>
        </w:rPr>
        <w:t>79</w:t>
      </w:r>
      <w:r w:rsidRPr="00B72BFC">
        <w:rPr>
          <w:rFonts w:eastAsia="標楷體" w:hAnsi="標楷體" w:hint="eastAsia"/>
          <w:color w:val="000000"/>
        </w:rPr>
        <w:t>分</w:t>
      </w:r>
      <w:r w:rsidRPr="00B72BFC">
        <w:rPr>
          <w:rFonts w:eastAsia="標楷體"/>
          <w:color w:val="000000"/>
        </w:rPr>
        <w:t>(</w:t>
      </w:r>
      <w:r w:rsidRPr="00B72BFC">
        <w:rPr>
          <w:rFonts w:eastAsia="標楷體" w:hAnsi="標楷體" w:hint="eastAsia"/>
          <w:color w:val="000000"/>
        </w:rPr>
        <w:t>含</w:t>
      </w:r>
      <w:r w:rsidRPr="00B72BFC">
        <w:rPr>
          <w:rFonts w:eastAsia="標楷體"/>
          <w:color w:val="000000"/>
        </w:rPr>
        <w:t>)</w:t>
      </w:r>
      <w:r w:rsidRPr="00B72BFC">
        <w:rPr>
          <w:rFonts w:eastAsia="標楷體" w:hAnsi="標楷體" w:hint="eastAsia"/>
          <w:color w:val="000000"/>
        </w:rPr>
        <w:t>以上</w:t>
      </w:r>
    </w:p>
    <w:p w:rsidR="00104E7A" w:rsidRPr="00B72BFC" w:rsidRDefault="00104E7A" w:rsidP="00104E7A">
      <w:pPr>
        <w:numPr>
          <w:ilvl w:val="2"/>
          <w:numId w:val="1"/>
        </w:numPr>
        <w:tabs>
          <w:tab w:val="clear" w:pos="1560"/>
        </w:tabs>
        <w:spacing w:line="0" w:lineRule="atLeast"/>
        <w:ind w:left="1260" w:hanging="720"/>
        <w:jc w:val="both"/>
        <w:rPr>
          <w:rFonts w:eastAsia="標楷體"/>
          <w:color w:val="000000"/>
        </w:rPr>
      </w:pPr>
      <w:r w:rsidRPr="00B72BFC">
        <w:rPr>
          <w:rFonts w:eastAsia="標楷體" w:hAnsi="標楷體" w:hint="eastAsia"/>
          <w:color w:val="000000"/>
        </w:rPr>
        <w:t>國際英語測試（</w:t>
      </w:r>
      <w:r w:rsidRPr="00B72BFC">
        <w:rPr>
          <w:rFonts w:eastAsia="標楷體"/>
          <w:color w:val="000000"/>
        </w:rPr>
        <w:t>IELTS</w:t>
      </w:r>
      <w:r w:rsidRPr="00B72BFC">
        <w:rPr>
          <w:rFonts w:eastAsia="標楷體" w:hAnsi="標楷體" w:hint="eastAsia"/>
          <w:color w:val="000000"/>
        </w:rPr>
        <w:t>）</w:t>
      </w:r>
      <w:r w:rsidRPr="00B72BFC">
        <w:rPr>
          <w:rFonts w:eastAsia="標楷體"/>
          <w:color w:val="000000"/>
        </w:rPr>
        <w:t>6.5</w:t>
      </w:r>
      <w:r w:rsidRPr="00B72BFC">
        <w:rPr>
          <w:rFonts w:eastAsia="標楷體" w:hAnsi="標楷體" w:hint="eastAsia"/>
          <w:color w:val="000000"/>
        </w:rPr>
        <w:t>級（含）以上</w:t>
      </w:r>
    </w:p>
    <w:p w:rsidR="00104E7A" w:rsidRPr="00B72BFC" w:rsidRDefault="00104E7A" w:rsidP="00104E7A">
      <w:pPr>
        <w:numPr>
          <w:ilvl w:val="2"/>
          <w:numId w:val="1"/>
        </w:numPr>
        <w:tabs>
          <w:tab w:val="clear" w:pos="1560"/>
        </w:tabs>
        <w:spacing w:line="0" w:lineRule="atLeast"/>
        <w:ind w:left="1260" w:hanging="720"/>
        <w:jc w:val="both"/>
        <w:rPr>
          <w:rFonts w:eastAsia="標楷體"/>
          <w:color w:val="000000"/>
        </w:rPr>
      </w:pPr>
      <w:r w:rsidRPr="00B72BFC">
        <w:rPr>
          <w:rFonts w:eastAsia="標楷體" w:hAnsi="標楷體" w:hint="eastAsia"/>
          <w:color w:val="000000"/>
        </w:rPr>
        <w:t>多益測驗（</w:t>
      </w:r>
      <w:r w:rsidRPr="00B72BFC">
        <w:rPr>
          <w:rFonts w:eastAsia="標楷體"/>
          <w:color w:val="000000"/>
        </w:rPr>
        <w:t>TOEIC</w:t>
      </w:r>
      <w:r w:rsidRPr="00B72BFC">
        <w:rPr>
          <w:rFonts w:eastAsia="標楷體" w:hAnsi="標楷體" w:hint="eastAsia"/>
          <w:color w:val="000000"/>
        </w:rPr>
        <w:t>）</w:t>
      </w:r>
      <w:r w:rsidRPr="00B72BFC">
        <w:rPr>
          <w:rFonts w:eastAsia="標楷體"/>
          <w:color w:val="000000"/>
        </w:rPr>
        <w:t>730</w:t>
      </w:r>
      <w:r w:rsidRPr="00B72BFC">
        <w:rPr>
          <w:rFonts w:eastAsia="標楷體" w:hAnsi="標楷體" w:hint="eastAsia"/>
          <w:color w:val="000000"/>
        </w:rPr>
        <w:t>分（含）以上</w:t>
      </w:r>
    </w:p>
    <w:p w:rsidR="00104E7A" w:rsidRPr="00B72BFC" w:rsidRDefault="00104E7A" w:rsidP="00104E7A">
      <w:pPr>
        <w:spacing w:line="0" w:lineRule="atLeast"/>
        <w:ind w:left="480"/>
        <w:jc w:val="both"/>
        <w:rPr>
          <w:rFonts w:eastAsia="標楷體"/>
          <w:color w:val="000000"/>
        </w:rPr>
      </w:pPr>
      <w:r w:rsidRPr="00B72BFC">
        <w:rPr>
          <w:rFonts w:eastAsia="標楷體"/>
          <w:color w:val="000000"/>
        </w:rPr>
        <w:t>Freshman students who meet any of the following requirements may, upon approval, opt out of the four credits required for “Basic English” and choose to take “Advanced English” or “Second Foreign Language” instead:</w:t>
      </w:r>
    </w:p>
    <w:p w:rsidR="00104E7A" w:rsidRPr="00B72BFC" w:rsidRDefault="00104E7A" w:rsidP="00B72BFC">
      <w:pPr>
        <w:spacing w:line="0" w:lineRule="atLeast"/>
        <w:ind w:leftChars="225" w:left="900" w:hangingChars="150" w:hanging="360"/>
        <w:jc w:val="both"/>
        <w:rPr>
          <w:rFonts w:eastAsia="標楷體"/>
          <w:color w:val="000000"/>
        </w:rPr>
      </w:pPr>
      <w:r w:rsidRPr="00B72BFC">
        <w:rPr>
          <w:rFonts w:eastAsia="標楷體"/>
          <w:color w:val="000000"/>
        </w:rPr>
        <w:t>(1) Band 15 on the Scholastic Ability English Test (SAET) upon entering the university</w:t>
      </w:r>
    </w:p>
    <w:p w:rsidR="00104E7A" w:rsidRPr="00B72BFC" w:rsidRDefault="00104E7A" w:rsidP="00B72BFC">
      <w:pPr>
        <w:spacing w:line="0" w:lineRule="atLeast"/>
        <w:ind w:leftChars="225" w:left="900" w:hangingChars="150" w:hanging="360"/>
        <w:jc w:val="both"/>
        <w:rPr>
          <w:rFonts w:eastAsia="標楷體"/>
          <w:color w:val="000000"/>
        </w:rPr>
      </w:pPr>
      <w:r w:rsidRPr="00B72BFC">
        <w:rPr>
          <w:rFonts w:eastAsia="標楷體"/>
          <w:color w:val="000000"/>
        </w:rPr>
        <w:t>(2) Top 10% in the Department Required English Test (DRET) among new NCTU students</w:t>
      </w:r>
    </w:p>
    <w:p w:rsidR="00104E7A" w:rsidRPr="00B72BFC" w:rsidRDefault="00104E7A" w:rsidP="00B72BFC">
      <w:pPr>
        <w:spacing w:line="0" w:lineRule="atLeast"/>
        <w:ind w:leftChars="225" w:left="900" w:hangingChars="150" w:hanging="360"/>
        <w:jc w:val="both"/>
        <w:rPr>
          <w:rFonts w:eastAsia="標楷體"/>
          <w:color w:val="000000"/>
        </w:rPr>
      </w:pPr>
      <w:r w:rsidRPr="00B72BFC">
        <w:rPr>
          <w:rFonts w:eastAsia="標楷體"/>
          <w:color w:val="000000"/>
        </w:rPr>
        <w:t>(3) A passing score on Stages 1 of the High-Intermediate Level of the General English Proficiency Test (GEPT)</w:t>
      </w:r>
    </w:p>
    <w:p w:rsidR="00104E7A" w:rsidRPr="00B72BFC" w:rsidRDefault="00104E7A" w:rsidP="00B72BFC">
      <w:pPr>
        <w:spacing w:line="0" w:lineRule="atLeast"/>
        <w:ind w:leftChars="225" w:left="900" w:hangingChars="150" w:hanging="360"/>
        <w:jc w:val="both"/>
        <w:rPr>
          <w:rFonts w:eastAsia="標楷體"/>
          <w:color w:val="000000"/>
        </w:rPr>
      </w:pPr>
      <w:r w:rsidRPr="00B72BFC">
        <w:rPr>
          <w:rFonts w:eastAsia="標楷體"/>
          <w:color w:val="000000"/>
        </w:rPr>
        <w:t>(4) A TOEFL (including ITP) score of 550 or higher</w:t>
      </w:r>
    </w:p>
    <w:p w:rsidR="00104E7A" w:rsidRPr="00B72BFC" w:rsidRDefault="00104E7A" w:rsidP="00B72BFC">
      <w:pPr>
        <w:spacing w:line="0" w:lineRule="atLeast"/>
        <w:ind w:leftChars="225" w:left="900" w:hangingChars="150" w:hanging="360"/>
        <w:jc w:val="both"/>
        <w:rPr>
          <w:rFonts w:eastAsia="標楷體"/>
          <w:color w:val="000000"/>
        </w:rPr>
      </w:pPr>
      <w:r w:rsidRPr="00B72BFC">
        <w:rPr>
          <w:rFonts w:eastAsia="標楷體"/>
          <w:color w:val="000000"/>
        </w:rPr>
        <w:t>(5) A TOEFL CBT score of 213 or higher</w:t>
      </w:r>
    </w:p>
    <w:p w:rsidR="00104E7A" w:rsidRPr="00B72BFC" w:rsidRDefault="00104E7A" w:rsidP="00B72BFC">
      <w:pPr>
        <w:spacing w:line="0" w:lineRule="atLeast"/>
        <w:ind w:leftChars="225" w:left="900" w:hangingChars="150" w:hanging="360"/>
        <w:jc w:val="both"/>
        <w:rPr>
          <w:rFonts w:eastAsia="標楷體"/>
          <w:color w:val="000000"/>
        </w:rPr>
      </w:pPr>
      <w:r w:rsidRPr="00B72BFC">
        <w:rPr>
          <w:rFonts w:eastAsia="標楷體"/>
          <w:color w:val="000000"/>
        </w:rPr>
        <w:t>(6) A TOEFL iBT score of 79 or higher</w:t>
      </w:r>
    </w:p>
    <w:p w:rsidR="00104E7A" w:rsidRPr="00B72BFC" w:rsidRDefault="00104E7A" w:rsidP="00B72BFC">
      <w:pPr>
        <w:spacing w:line="0" w:lineRule="atLeast"/>
        <w:ind w:leftChars="225" w:left="900" w:hangingChars="150" w:hanging="360"/>
        <w:jc w:val="both"/>
        <w:rPr>
          <w:rFonts w:eastAsia="標楷體"/>
          <w:color w:val="000000"/>
        </w:rPr>
      </w:pPr>
      <w:r w:rsidRPr="00B72BFC">
        <w:rPr>
          <w:rFonts w:eastAsia="標楷體"/>
          <w:color w:val="000000"/>
        </w:rPr>
        <w:t>(7) Band 6.5 or higher on the International English Language Testing System (IELTS)</w:t>
      </w:r>
    </w:p>
    <w:p w:rsidR="00104E7A" w:rsidRPr="00B72BFC" w:rsidRDefault="00104E7A" w:rsidP="00B72BFC">
      <w:pPr>
        <w:spacing w:line="0" w:lineRule="atLeast"/>
        <w:ind w:leftChars="225" w:left="900" w:hangingChars="150" w:hanging="360"/>
        <w:jc w:val="both"/>
        <w:rPr>
          <w:rFonts w:eastAsia="標楷體"/>
          <w:color w:val="000000"/>
        </w:rPr>
      </w:pPr>
      <w:r w:rsidRPr="00B72BFC">
        <w:rPr>
          <w:rFonts w:eastAsia="標楷體"/>
          <w:color w:val="000000"/>
        </w:rPr>
        <w:t>(8) A TOEIC score of 730 or higher</w:t>
      </w:r>
    </w:p>
    <w:p w:rsidR="00104E7A" w:rsidRPr="00B72BFC" w:rsidRDefault="00104E7A" w:rsidP="00104E7A">
      <w:pPr>
        <w:spacing w:line="0" w:lineRule="atLeast"/>
        <w:ind w:left="480"/>
        <w:jc w:val="both"/>
        <w:rPr>
          <w:rFonts w:eastAsia="標楷體"/>
          <w:color w:val="000000"/>
        </w:rPr>
      </w:pPr>
    </w:p>
    <w:p w:rsidR="00104E7A" w:rsidRPr="00B72BFC" w:rsidRDefault="00104E7A" w:rsidP="00104E7A">
      <w:pPr>
        <w:numPr>
          <w:ilvl w:val="0"/>
          <w:numId w:val="1"/>
        </w:numPr>
        <w:spacing w:line="0" w:lineRule="atLeast"/>
        <w:jc w:val="both"/>
        <w:rPr>
          <w:rFonts w:eastAsia="標楷體" w:hAnsi="標楷體"/>
          <w:color w:val="000000"/>
        </w:rPr>
      </w:pPr>
      <w:r w:rsidRPr="00B72BFC">
        <w:rPr>
          <w:rFonts w:eastAsia="標楷體" w:hAnsi="標楷體" w:hint="eastAsia"/>
          <w:color w:val="000000"/>
          <w:kern w:val="0"/>
        </w:rPr>
        <w:lastRenderedPageBreak/>
        <w:t>上列二、三項若檢具其他具有國際性公信力之測驗成績者，亦得提出申請，由語言中心召開會議審核。</w:t>
      </w:r>
    </w:p>
    <w:p w:rsidR="00104E7A" w:rsidRPr="00B72BFC" w:rsidRDefault="00104E7A" w:rsidP="00104E7A">
      <w:pPr>
        <w:spacing w:line="0" w:lineRule="atLeast"/>
        <w:ind w:left="482"/>
        <w:jc w:val="both"/>
        <w:rPr>
          <w:rFonts w:eastAsia="標楷體"/>
          <w:color w:val="000000"/>
        </w:rPr>
      </w:pPr>
      <w:r w:rsidRPr="00B72BFC">
        <w:rPr>
          <w:rFonts w:eastAsia="標楷體"/>
          <w:color w:val="000000"/>
        </w:rPr>
        <w:t xml:space="preserve">Students with other international English proficiency test results which are not mentioned in Sections 2 and 3 but who wish to be exempted from language courses may apply to NCTU’s Language Teaching and Research Center (LTRC), whereby their eligibility will be assessed. </w:t>
      </w:r>
    </w:p>
    <w:p w:rsidR="00104E7A" w:rsidRPr="00B72BFC" w:rsidRDefault="00104E7A" w:rsidP="00104E7A">
      <w:pPr>
        <w:spacing w:line="0" w:lineRule="atLeast"/>
        <w:ind w:left="480"/>
        <w:jc w:val="both"/>
        <w:rPr>
          <w:rFonts w:eastAsia="標楷體" w:hAnsi="標楷體"/>
          <w:color w:val="000000"/>
        </w:rPr>
      </w:pPr>
    </w:p>
    <w:p w:rsidR="00104E7A" w:rsidRPr="00B72BFC" w:rsidRDefault="00104E7A" w:rsidP="00104E7A">
      <w:pPr>
        <w:spacing w:line="0" w:lineRule="atLeast"/>
        <w:ind w:left="480" w:hangingChars="200" w:hanging="480"/>
        <w:jc w:val="both"/>
        <w:rPr>
          <w:rFonts w:eastAsia="標楷體"/>
          <w:color w:val="000000"/>
        </w:rPr>
      </w:pPr>
      <w:r w:rsidRPr="00B72BFC">
        <w:rPr>
          <w:rFonts w:eastAsia="標楷體" w:hAnsi="標楷體" w:hint="eastAsia"/>
          <w:color w:val="000000"/>
        </w:rPr>
        <w:t>五、學生應於大一時修畢「英文基礎課程」四學分，並於大一第二學期結束前參加本中心所舉辦之英文能力檢定考試；未達該英文能力檢定考試標準者</w:t>
      </w:r>
      <w:r w:rsidRPr="00B72BFC">
        <w:rPr>
          <w:rFonts w:eastAsia="標楷體"/>
          <w:color w:val="000000"/>
        </w:rPr>
        <w:t>(</w:t>
      </w:r>
      <w:r w:rsidRPr="00B72BFC">
        <w:rPr>
          <w:rFonts w:eastAsia="標楷體" w:hAnsi="標楷體" w:hint="eastAsia"/>
          <w:color w:val="000000"/>
        </w:rPr>
        <w:t>標準如下所列</w:t>
      </w:r>
      <w:r w:rsidRPr="00B72BFC">
        <w:rPr>
          <w:rFonts w:eastAsia="標楷體"/>
          <w:color w:val="000000"/>
        </w:rPr>
        <w:t>)</w:t>
      </w:r>
      <w:r w:rsidRPr="00B72BFC">
        <w:rPr>
          <w:rFonts w:eastAsia="標楷體" w:hAnsi="標楷體" w:hint="eastAsia"/>
          <w:color w:val="000000"/>
        </w:rPr>
        <w:t>，須於畢業前加修並通過「英文進階課程」四學分，或於畢業前自行報名並通過下述所列任一英文能力檢定考試與標準始得畢業。其加修之「英文進階課程」學分數不列計畢業學分。</w:t>
      </w:r>
    </w:p>
    <w:p w:rsidR="00104E7A" w:rsidRPr="00B72BFC" w:rsidRDefault="00104E7A" w:rsidP="00104E7A">
      <w:pPr>
        <w:numPr>
          <w:ilvl w:val="0"/>
          <w:numId w:val="2"/>
        </w:numPr>
        <w:spacing w:line="0" w:lineRule="atLeast"/>
        <w:jc w:val="both"/>
        <w:rPr>
          <w:rFonts w:eastAsia="標楷體"/>
          <w:color w:val="000000"/>
        </w:rPr>
      </w:pPr>
      <w:r w:rsidRPr="00B72BFC">
        <w:rPr>
          <w:rFonts w:eastAsia="標楷體" w:hAnsi="標楷體" w:hint="eastAsia"/>
          <w:color w:val="000000"/>
        </w:rPr>
        <w:t>通過全民英語能力分級檢定中高級初試</w:t>
      </w:r>
    </w:p>
    <w:p w:rsidR="00104E7A" w:rsidRPr="00B72BFC" w:rsidRDefault="00104E7A" w:rsidP="00104E7A">
      <w:pPr>
        <w:numPr>
          <w:ilvl w:val="0"/>
          <w:numId w:val="2"/>
        </w:numPr>
        <w:spacing w:line="0" w:lineRule="atLeast"/>
        <w:jc w:val="both"/>
        <w:rPr>
          <w:rFonts w:eastAsia="標楷體"/>
          <w:color w:val="000000"/>
        </w:rPr>
      </w:pPr>
      <w:r w:rsidRPr="00B72BFC">
        <w:rPr>
          <w:rFonts w:eastAsia="標楷體" w:hAnsi="標楷體" w:hint="eastAsia"/>
          <w:color w:val="000000"/>
        </w:rPr>
        <w:t>托福（含托福</w:t>
      </w:r>
      <w:r w:rsidRPr="00B72BFC">
        <w:rPr>
          <w:rFonts w:eastAsia="標楷體"/>
          <w:color w:val="000000"/>
        </w:rPr>
        <w:t>ITP</w:t>
      </w:r>
      <w:r w:rsidRPr="00B72BFC">
        <w:rPr>
          <w:rFonts w:eastAsia="標楷體" w:hAnsi="標楷體" w:hint="eastAsia"/>
          <w:color w:val="000000"/>
        </w:rPr>
        <w:t>測驗）</w:t>
      </w:r>
      <w:r w:rsidRPr="00B72BFC">
        <w:rPr>
          <w:rFonts w:eastAsia="標楷體"/>
          <w:color w:val="000000"/>
        </w:rPr>
        <w:t>530</w:t>
      </w:r>
      <w:r w:rsidRPr="00B72BFC">
        <w:rPr>
          <w:rFonts w:eastAsia="標楷體" w:hAnsi="標楷體" w:hint="eastAsia"/>
          <w:color w:val="000000"/>
        </w:rPr>
        <w:t>分（含）以上</w:t>
      </w:r>
    </w:p>
    <w:p w:rsidR="00104E7A" w:rsidRPr="00B72BFC" w:rsidRDefault="00104E7A" w:rsidP="00104E7A">
      <w:pPr>
        <w:numPr>
          <w:ilvl w:val="0"/>
          <w:numId w:val="2"/>
        </w:numPr>
        <w:spacing w:line="0" w:lineRule="atLeast"/>
        <w:jc w:val="both"/>
        <w:rPr>
          <w:rFonts w:eastAsia="標楷體"/>
          <w:color w:val="000000"/>
        </w:rPr>
      </w:pPr>
      <w:r w:rsidRPr="00B72BFC">
        <w:rPr>
          <w:rFonts w:eastAsia="標楷體" w:hAnsi="標楷體" w:hint="eastAsia"/>
          <w:color w:val="000000"/>
        </w:rPr>
        <w:t>電腦托福</w:t>
      </w:r>
      <w:r w:rsidRPr="00B72BFC">
        <w:rPr>
          <w:rFonts w:eastAsia="標楷體"/>
          <w:color w:val="000000"/>
        </w:rPr>
        <w:t>213</w:t>
      </w:r>
      <w:r w:rsidRPr="00B72BFC">
        <w:rPr>
          <w:rFonts w:eastAsia="標楷體" w:hAnsi="標楷體" w:hint="eastAsia"/>
          <w:color w:val="000000"/>
        </w:rPr>
        <w:t>分（含）以上</w:t>
      </w:r>
    </w:p>
    <w:p w:rsidR="00104E7A" w:rsidRPr="00B72BFC" w:rsidRDefault="00104E7A" w:rsidP="00104E7A">
      <w:pPr>
        <w:numPr>
          <w:ilvl w:val="0"/>
          <w:numId w:val="2"/>
        </w:numPr>
        <w:spacing w:line="0" w:lineRule="atLeast"/>
        <w:jc w:val="both"/>
        <w:rPr>
          <w:rFonts w:eastAsia="標楷體"/>
          <w:color w:val="000000"/>
        </w:rPr>
      </w:pPr>
      <w:r w:rsidRPr="00B72BFC">
        <w:rPr>
          <w:rFonts w:eastAsia="標楷體" w:hAnsi="標楷體" w:hint="eastAsia"/>
          <w:color w:val="000000"/>
        </w:rPr>
        <w:t>新網路托福</w:t>
      </w:r>
      <w:r w:rsidRPr="00B72BFC">
        <w:rPr>
          <w:rFonts w:eastAsia="標楷體"/>
          <w:color w:val="000000"/>
        </w:rPr>
        <w:t>71</w:t>
      </w:r>
      <w:r w:rsidRPr="00B72BFC">
        <w:rPr>
          <w:rFonts w:eastAsia="標楷體" w:hAnsi="標楷體" w:hint="eastAsia"/>
          <w:color w:val="000000"/>
        </w:rPr>
        <w:t>分</w:t>
      </w:r>
      <w:r w:rsidRPr="00B72BFC">
        <w:rPr>
          <w:rFonts w:eastAsia="標楷體"/>
          <w:color w:val="000000"/>
        </w:rPr>
        <w:t>(</w:t>
      </w:r>
      <w:r w:rsidRPr="00B72BFC">
        <w:rPr>
          <w:rFonts w:eastAsia="標楷體" w:hAnsi="標楷體" w:hint="eastAsia"/>
          <w:color w:val="000000"/>
        </w:rPr>
        <w:t>含</w:t>
      </w:r>
      <w:r w:rsidRPr="00B72BFC">
        <w:rPr>
          <w:rFonts w:eastAsia="標楷體"/>
          <w:color w:val="000000"/>
        </w:rPr>
        <w:t>)</w:t>
      </w:r>
      <w:r w:rsidRPr="00B72BFC">
        <w:rPr>
          <w:rFonts w:eastAsia="標楷體" w:hAnsi="標楷體" w:hint="eastAsia"/>
          <w:color w:val="000000"/>
        </w:rPr>
        <w:t>以上</w:t>
      </w:r>
    </w:p>
    <w:p w:rsidR="00104E7A" w:rsidRPr="00B72BFC" w:rsidRDefault="00104E7A" w:rsidP="00104E7A">
      <w:pPr>
        <w:numPr>
          <w:ilvl w:val="0"/>
          <w:numId w:val="2"/>
        </w:numPr>
        <w:spacing w:line="0" w:lineRule="atLeast"/>
        <w:jc w:val="both"/>
        <w:rPr>
          <w:rFonts w:eastAsia="標楷體"/>
          <w:color w:val="000000"/>
        </w:rPr>
      </w:pPr>
      <w:r w:rsidRPr="00B72BFC">
        <w:rPr>
          <w:rFonts w:eastAsia="標楷體" w:hAnsi="標楷體" w:hint="eastAsia"/>
          <w:color w:val="000000"/>
        </w:rPr>
        <w:t>國際英語測試（</w:t>
      </w:r>
      <w:r w:rsidRPr="00B72BFC">
        <w:rPr>
          <w:rFonts w:eastAsia="標楷體"/>
          <w:color w:val="000000"/>
        </w:rPr>
        <w:t>IELTS</w:t>
      </w:r>
      <w:r w:rsidRPr="00B72BFC">
        <w:rPr>
          <w:rFonts w:eastAsia="標楷體" w:hAnsi="標楷體" w:hint="eastAsia"/>
          <w:color w:val="000000"/>
        </w:rPr>
        <w:t>）</w:t>
      </w:r>
      <w:r w:rsidRPr="00B72BFC">
        <w:rPr>
          <w:rFonts w:eastAsia="標楷體"/>
          <w:color w:val="000000"/>
        </w:rPr>
        <w:t>5.5</w:t>
      </w:r>
      <w:r w:rsidRPr="00B72BFC">
        <w:rPr>
          <w:rFonts w:eastAsia="標楷體" w:hAnsi="標楷體" w:hint="eastAsia"/>
          <w:color w:val="000000"/>
        </w:rPr>
        <w:t>級（含）以上</w:t>
      </w:r>
    </w:p>
    <w:p w:rsidR="00104E7A" w:rsidRPr="00B72BFC" w:rsidRDefault="00104E7A" w:rsidP="00104E7A">
      <w:pPr>
        <w:numPr>
          <w:ilvl w:val="0"/>
          <w:numId w:val="2"/>
        </w:numPr>
        <w:spacing w:line="0" w:lineRule="atLeast"/>
        <w:jc w:val="both"/>
        <w:rPr>
          <w:rFonts w:eastAsia="標楷體"/>
          <w:color w:val="000000"/>
        </w:rPr>
      </w:pPr>
      <w:r w:rsidRPr="00B72BFC">
        <w:rPr>
          <w:rFonts w:eastAsia="標楷體" w:hAnsi="標楷體" w:hint="eastAsia"/>
          <w:color w:val="000000"/>
        </w:rPr>
        <w:t>多益測驗（</w:t>
      </w:r>
      <w:r w:rsidRPr="00B72BFC">
        <w:rPr>
          <w:rFonts w:eastAsia="標楷體"/>
          <w:color w:val="000000"/>
        </w:rPr>
        <w:t>TOEIC</w:t>
      </w:r>
      <w:r w:rsidRPr="00B72BFC">
        <w:rPr>
          <w:rFonts w:eastAsia="標楷體" w:hAnsi="標楷體" w:hint="eastAsia"/>
          <w:color w:val="000000"/>
        </w:rPr>
        <w:t>）</w:t>
      </w:r>
      <w:r w:rsidRPr="00B72BFC">
        <w:rPr>
          <w:rFonts w:eastAsia="標楷體"/>
          <w:color w:val="000000"/>
        </w:rPr>
        <w:t>730</w:t>
      </w:r>
      <w:r w:rsidRPr="00B72BFC">
        <w:rPr>
          <w:rFonts w:eastAsia="標楷體" w:hAnsi="標楷體" w:hint="eastAsia"/>
          <w:color w:val="000000"/>
        </w:rPr>
        <w:t>分（含）以上</w:t>
      </w:r>
    </w:p>
    <w:p w:rsidR="00104E7A" w:rsidRPr="00B72BFC" w:rsidRDefault="00104E7A" w:rsidP="00104E7A">
      <w:pPr>
        <w:spacing w:line="0" w:lineRule="atLeast"/>
        <w:ind w:left="480"/>
        <w:jc w:val="both"/>
        <w:rPr>
          <w:rFonts w:eastAsia="標楷體"/>
          <w:color w:val="000000"/>
        </w:rPr>
      </w:pPr>
      <w:r w:rsidRPr="00B72BFC">
        <w:rPr>
          <w:rFonts w:eastAsia="標楷體"/>
          <w:color w:val="000000"/>
        </w:rPr>
        <w:t>Students should complete “Basic English” (four credits) in the freshman year. Before the end of the second semester, students must take an English language proficiency test held by the LTRC. Students who do not meet the passing requirements must take and pass four credits of “Advanced English” or meet one of the requirements below in order to graduate. Please note that students are responsible for the cost of such additional testing, and credits received for “Advanced English” do not count towards the required graduation credits.</w:t>
      </w:r>
    </w:p>
    <w:p w:rsidR="00104E7A" w:rsidRPr="00B72BFC" w:rsidRDefault="00104E7A" w:rsidP="00B72BFC">
      <w:pPr>
        <w:spacing w:line="0" w:lineRule="atLeast"/>
        <w:ind w:leftChars="225" w:left="900" w:hangingChars="150" w:hanging="360"/>
        <w:jc w:val="both"/>
        <w:rPr>
          <w:rFonts w:eastAsia="標楷體"/>
          <w:color w:val="000000"/>
        </w:rPr>
      </w:pPr>
      <w:r w:rsidRPr="00B72BFC">
        <w:rPr>
          <w:rFonts w:eastAsia="標楷體"/>
          <w:color w:val="000000"/>
        </w:rPr>
        <w:t>(1) A passing score on Stage 1 of the GEPT High-Intermediate Level</w:t>
      </w:r>
    </w:p>
    <w:p w:rsidR="00104E7A" w:rsidRPr="00B72BFC" w:rsidRDefault="00104E7A" w:rsidP="00B72BFC">
      <w:pPr>
        <w:spacing w:line="0" w:lineRule="atLeast"/>
        <w:ind w:leftChars="225" w:left="900" w:hangingChars="150" w:hanging="360"/>
        <w:jc w:val="both"/>
        <w:rPr>
          <w:rFonts w:eastAsia="標楷體"/>
          <w:color w:val="000000"/>
        </w:rPr>
      </w:pPr>
      <w:r w:rsidRPr="00B72BFC">
        <w:rPr>
          <w:rFonts w:eastAsia="標楷體"/>
          <w:color w:val="000000"/>
        </w:rPr>
        <w:t>(2) A TOEFL (including ITP) score of 530 or higher</w:t>
      </w:r>
    </w:p>
    <w:p w:rsidR="00104E7A" w:rsidRPr="00B72BFC" w:rsidRDefault="00104E7A" w:rsidP="00B72BFC">
      <w:pPr>
        <w:spacing w:line="0" w:lineRule="atLeast"/>
        <w:ind w:leftChars="225" w:left="900" w:hangingChars="150" w:hanging="360"/>
        <w:jc w:val="both"/>
        <w:rPr>
          <w:rFonts w:eastAsia="標楷體"/>
          <w:color w:val="000000"/>
        </w:rPr>
      </w:pPr>
      <w:r w:rsidRPr="00B72BFC">
        <w:rPr>
          <w:rFonts w:eastAsia="標楷體"/>
          <w:color w:val="000000"/>
        </w:rPr>
        <w:t>(3) A TOEFL CBT score of 213 or higher</w:t>
      </w:r>
    </w:p>
    <w:p w:rsidR="00104E7A" w:rsidRPr="00B72BFC" w:rsidRDefault="00104E7A" w:rsidP="00B72BFC">
      <w:pPr>
        <w:spacing w:line="0" w:lineRule="atLeast"/>
        <w:ind w:leftChars="225" w:left="900" w:hangingChars="150" w:hanging="360"/>
        <w:jc w:val="both"/>
        <w:rPr>
          <w:rFonts w:eastAsia="標楷體"/>
          <w:color w:val="000000"/>
        </w:rPr>
      </w:pPr>
      <w:r w:rsidRPr="00B72BFC">
        <w:rPr>
          <w:rFonts w:eastAsia="標楷體"/>
          <w:color w:val="000000"/>
        </w:rPr>
        <w:t>(4) A TOEFL iBT score of 71 or higher</w:t>
      </w:r>
    </w:p>
    <w:p w:rsidR="00104E7A" w:rsidRPr="00B72BFC" w:rsidRDefault="00104E7A" w:rsidP="00B72BFC">
      <w:pPr>
        <w:spacing w:line="0" w:lineRule="atLeast"/>
        <w:ind w:leftChars="225" w:left="900" w:hangingChars="150" w:hanging="360"/>
        <w:jc w:val="both"/>
        <w:rPr>
          <w:rFonts w:eastAsia="標楷體"/>
          <w:color w:val="000000"/>
        </w:rPr>
      </w:pPr>
      <w:r w:rsidRPr="00B72BFC">
        <w:rPr>
          <w:rFonts w:eastAsia="標楷體"/>
          <w:color w:val="000000"/>
        </w:rPr>
        <w:t>(5) Band 5.5 or higher on the International English Language Testing System (IELTS)</w:t>
      </w:r>
    </w:p>
    <w:p w:rsidR="00104E7A" w:rsidRPr="00B72BFC" w:rsidRDefault="00104E7A" w:rsidP="00B72BFC">
      <w:pPr>
        <w:spacing w:line="0" w:lineRule="atLeast"/>
        <w:ind w:leftChars="225" w:left="900" w:hangingChars="150" w:hanging="360"/>
        <w:jc w:val="both"/>
        <w:rPr>
          <w:rFonts w:eastAsia="標楷體"/>
          <w:color w:val="000000"/>
        </w:rPr>
      </w:pPr>
      <w:r w:rsidRPr="00B72BFC">
        <w:rPr>
          <w:rFonts w:eastAsia="標楷體"/>
          <w:color w:val="000000"/>
        </w:rPr>
        <w:t>(6) A TOEIC score of 730 or higher</w:t>
      </w:r>
    </w:p>
    <w:p w:rsidR="00104E7A" w:rsidRPr="00B72BFC" w:rsidRDefault="00104E7A" w:rsidP="00B72BFC">
      <w:pPr>
        <w:spacing w:line="0" w:lineRule="atLeast"/>
        <w:ind w:leftChars="400" w:left="1320" w:hangingChars="150" w:hanging="360"/>
        <w:jc w:val="both"/>
        <w:rPr>
          <w:rFonts w:eastAsia="標楷體"/>
          <w:color w:val="000000"/>
        </w:rPr>
      </w:pPr>
    </w:p>
    <w:p w:rsidR="00104E7A" w:rsidRPr="00B72BFC" w:rsidRDefault="00104E7A" w:rsidP="00104E7A">
      <w:pPr>
        <w:numPr>
          <w:ilvl w:val="0"/>
          <w:numId w:val="3"/>
        </w:numPr>
        <w:spacing w:line="0" w:lineRule="atLeast"/>
        <w:jc w:val="both"/>
        <w:rPr>
          <w:rFonts w:eastAsia="標楷體"/>
          <w:color w:val="000000"/>
        </w:rPr>
      </w:pPr>
      <w:r w:rsidRPr="00B72BFC">
        <w:rPr>
          <w:rFonts w:eastAsia="標楷體" w:hAnsi="標楷體" w:hint="eastAsia"/>
          <w:color w:val="000000"/>
        </w:rPr>
        <w:t>大一學生符合下列條件之一者，得申請免參加本中心舉辦之英文能力檢定考試：</w:t>
      </w:r>
      <w:r w:rsidRPr="00B72BFC">
        <w:rPr>
          <w:rFonts w:eastAsia="標楷體"/>
          <w:color w:val="000000"/>
        </w:rPr>
        <w:t xml:space="preserve"> </w:t>
      </w:r>
    </w:p>
    <w:p w:rsidR="00104E7A" w:rsidRPr="00B72BFC" w:rsidRDefault="00104E7A" w:rsidP="00104E7A">
      <w:pPr>
        <w:numPr>
          <w:ilvl w:val="0"/>
          <w:numId w:val="4"/>
        </w:numPr>
        <w:spacing w:line="0" w:lineRule="atLeast"/>
        <w:jc w:val="both"/>
        <w:rPr>
          <w:rFonts w:eastAsia="標楷體"/>
          <w:color w:val="000000"/>
        </w:rPr>
      </w:pPr>
      <w:r w:rsidRPr="00B72BFC">
        <w:rPr>
          <w:rFonts w:eastAsia="標楷體" w:hAnsi="標楷體" w:hint="eastAsia"/>
          <w:color w:val="000000"/>
        </w:rPr>
        <w:t>外籍學生</w:t>
      </w:r>
    </w:p>
    <w:p w:rsidR="00104E7A" w:rsidRPr="00B72BFC" w:rsidRDefault="00104E7A" w:rsidP="00104E7A">
      <w:pPr>
        <w:numPr>
          <w:ilvl w:val="0"/>
          <w:numId w:val="4"/>
        </w:numPr>
        <w:spacing w:line="0" w:lineRule="atLeast"/>
        <w:jc w:val="both"/>
        <w:rPr>
          <w:rFonts w:eastAsia="標楷體"/>
          <w:color w:val="000000"/>
        </w:rPr>
      </w:pPr>
      <w:r w:rsidRPr="00B72BFC">
        <w:rPr>
          <w:rFonts w:eastAsia="標楷體" w:hAnsi="標楷體" w:hint="eastAsia"/>
          <w:color w:val="000000"/>
        </w:rPr>
        <w:t>達本辦法第五條規定所列英文能力檢定考試標準者。</w:t>
      </w:r>
    </w:p>
    <w:p w:rsidR="00104E7A" w:rsidRPr="00B72BFC" w:rsidRDefault="00104E7A" w:rsidP="00104E7A">
      <w:pPr>
        <w:spacing w:line="0" w:lineRule="atLeast"/>
        <w:ind w:left="480"/>
        <w:jc w:val="both"/>
        <w:rPr>
          <w:rFonts w:eastAsia="標楷體"/>
          <w:color w:val="000000"/>
        </w:rPr>
      </w:pPr>
      <w:r w:rsidRPr="00B72BFC">
        <w:rPr>
          <w:rFonts w:eastAsia="標楷體"/>
          <w:color w:val="000000"/>
        </w:rPr>
        <w:t>Freshman students who fulfill any of the following requirements may apply to waive the English language proficiency test held by the LTRC:</w:t>
      </w:r>
    </w:p>
    <w:p w:rsidR="00104E7A" w:rsidRPr="00B72BFC" w:rsidRDefault="00104E7A" w:rsidP="00B72BFC">
      <w:pPr>
        <w:spacing w:line="0" w:lineRule="atLeast"/>
        <w:ind w:leftChars="225" w:left="900" w:hangingChars="150" w:hanging="360"/>
        <w:jc w:val="both"/>
        <w:rPr>
          <w:rFonts w:eastAsia="標楷體"/>
          <w:color w:val="000000"/>
        </w:rPr>
      </w:pPr>
      <w:r w:rsidRPr="00B72BFC">
        <w:rPr>
          <w:rFonts w:eastAsia="標楷體"/>
          <w:color w:val="000000"/>
        </w:rPr>
        <w:t>(1) International students</w:t>
      </w:r>
    </w:p>
    <w:p w:rsidR="00104E7A" w:rsidRPr="00B72BFC" w:rsidRDefault="00104E7A" w:rsidP="00B72BFC">
      <w:pPr>
        <w:spacing w:line="0" w:lineRule="atLeast"/>
        <w:ind w:leftChars="225" w:left="900" w:hangingChars="150" w:hanging="360"/>
        <w:jc w:val="both"/>
        <w:rPr>
          <w:rFonts w:eastAsia="標楷體"/>
          <w:color w:val="000000"/>
        </w:rPr>
      </w:pPr>
      <w:r w:rsidRPr="00B72BFC">
        <w:rPr>
          <w:rFonts w:eastAsia="標楷體"/>
          <w:color w:val="000000"/>
        </w:rPr>
        <w:t>(2) Students who meet one of the requirements mentioned in Section 5.</w:t>
      </w:r>
    </w:p>
    <w:p w:rsidR="00104E7A" w:rsidRPr="00B72BFC" w:rsidRDefault="00104E7A" w:rsidP="00104E7A">
      <w:pPr>
        <w:spacing w:line="0" w:lineRule="atLeast"/>
        <w:ind w:left="960"/>
        <w:jc w:val="both"/>
        <w:rPr>
          <w:rFonts w:eastAsia="標楷體"/>
          <w:color w:val="000000"/>
        </w:rPr>
      </w:pPr>
    </w:p>
    <w:p w:rsidR="00104E7A" w:rsidRPr="00B72BFC" w:rsidRDefault="00104E7A" w:rsidP="00104E7A">
      <w:pPr>
        <w:numPr>
          <w:ilvl w:val="0"/>
          <w:numId w:val="3"/>
        </w:numPr>
        <w:spacing w:line="0" w:lineRule="atLeast"/>
        <w:jc w:val="both"/>
        <w:rPr>
          <w:rFonts w:eastAsia="標楷體"/>
          <w:color w:val="000000"/>
        </w:rPr>
      </w:pPr>
      <w:r w:rsidRPr="00B72BFC">
        <w:rPr>
          <w:rFonts w:eastAsia="標楷體" w:hAnsi="標楷體" w:hint="eastAsia"/>
          <w:color w:val="000000"/>
        </w:rPr>
        <w:t>未達本中心所舉辦之英文能力檢定考試標準者，若於修業期間參加本辦法第五條規定所列英文能力檢定考試並達其標準，可提出申請免加修「英文進階課程」。</w:t>
      </w:r>
    </w:p>
    <w:p w:rsidR="00104E7A" w:rsidRPr="00B72BFC" w:rsidRDefault="00104E7A" w:rsidP="00104E7A">
      <w:pPr>
        <w:spacing w:line="0" w:lineRule="atLeast"/>
        <w:ind w:left="482"/>
        <w:jc w:val="both"/>
        <w:rPr>
          <w:rFonts w:eastAsia="標楷體"/>
          <w:color w:val="000000"/>
        </w:rPr>
      </w:pPr>
      <w:r w:rsidRPr="00B72BFC">
        <w:rPr>
          <w:rFonts w:eastAsia="標楷體"/>
          <w:color w:val="000000"/>
        </w:rPr>
        <w:t xml:space="preserve">Students who fail the English language proficiency test held by the LTRC but who later meet one of the requirements listed in Section 5 may apply to be exempted from “Advanced English” courses. </w:t>
      </w:r>
    </w:p>
    <w:p w:rsidR="00104E7A" w:rsidRPr="00B72BFC" w:rsidRDefault="00104E7A" w:rsidP="00104E7A">
      <w:pPr>
        <w:spacing w:line="0" w:lineRule="atLeast"/>
        <w:ind w:left="480"/>
        <w:jc w:val="both"/>
        <w:rPr>
          <w:rFonts w:eastAsia="標楷體"/>
          <w:color w:val="000000"/>
        </w:rPr>
      </w:pPr>
    </w:p>
    <w:p w:rsidR="00104E7A" w:rsidRPr="00B72BFC" w:rsidRDefault="00104E7A" w:rsidP="00104E7A">
      <w:pPr>
        <w:numPr>
          <w:ilvl w:val="0"/>
          <w:numId w:val="3"/>
        </w:numPr>
        <w:spacing w:line="0" w:lineRule="atLeast"/>
        <w:jc w:val="both"/>
        <w:rPr>
          <w:rFonts w:eastAsia="標楷體"/>
          <w:color w:val="000000"/>
        </w:rPr>
      </w:pPr>
      <w:r w:rsidRPr="00B72BFC">
        <w:rPr>
          <w:rFonts w:eastAsia="標楷體" w:hAnsi="標楷體" w:hint="eastAsia"/>
          <w:color w:val="000000"/>
        </w:rPr>
        <w:t>欲申請第二外語抵免者，由語言教學與研究中心各第二外語教師組成鑑定小組審核或測驗。經審核或測驗通過者，得抵免該外語二至四學分。</w:t>
      </w:r>
    </w:p>
    <w:p w:rsidR="00104E7A" w:rsidRPr="00B72BFC" w:rsidRDefault="00104E7A" w:rsidP="00104E7A">
      <w:pPr>
        <w:pStyle w:val="1"/>
        <w:spacing w:line="0" w:lineRule="atLeast"/>
        <w:jc w:val="both"/>
        <w:rPr>
          <w:rFonts w:eastAsia="標楷體"/>
          <w:color w:val="000000"/>
        </w:rPr>
      </w:pPr>
      <w:r w:rsidRPr="00B72BFC">
        <w:rPr>
          <w:rFonts w:eastAsia="標楷體"/>
          <w:color w:val="000000"/>
        </w:rPr>
        <w:t xml:space="preserve">Students who apply for an exemption from the “Second Foreign Language” requirement will be reviewed or tested by an appraisal task force formed by respective teachers from the LTRC. Upon approval, the student may be exempted from two to four credits of second foreign language courses. </w:t>
      </w:r>
    </w:p>
    <w:p w:rsidR="00104E7A" w:rsidRPr="00B72BFC" w:rsidRDefault="00104E7A" w:rsidP="00104E7A">
      <w:pPr>
        <w:pStyle w:val="1"/>
        <w:spacing w:line="0" w:lineRule="atLeast"/>
        <w:jc w:val="both"/>
        <w:rPr>
          <w:rFonts w:eastAsia="標楷體"/>
          <w:color w:val="000000"/>
        </w:rPr>
      </w:pPr>
    </w:p>
    <w:p w:rsidR="00104E7A" w:rsidRPr="00B72BFC" w:rsidRDefault="00104E7A" w:rsidP="00104E7A">
      <w:pPr>
        <w:numPr>
          <w:ilvl w:val="0"/>
          <w:numId w:val="3"/>
        </w:numPr>
        <w:spacing w:line="0" w:lineRule="atLeast"/>
        <w:jc w:val="both"/>
        <w:rPr>
          <w:rFonts w:eastAsia="標楷體"/>
          <w:color w:val="000000"/>
        </w:rPr>
      </w:pPr>
      <w:r w:rsidRPr="00B72BFC">
        <w:rPr>
          <w:rFonts w:eastAsia="標楷體" w:hAnsi="標楷體" w:hint="eastAsia"/>
          <w:color w:val="000000"/>
        </w:rPr>
        <w:t>學生在校期間若自行參加本辦法第二條所列各項測驗達到所訂標準者，得持相關證明申請抵免尚未修足之外語學分。</w:t>
      </w:r>
    </w:p>
    <w:p w:rsidR="00104E7A" w:rsidRPr="00B72BFC" w:rsidRDefault="00104E7A" w:rsidP="00104E7A">
      <w:pPr>
        <w:pStyle w:val="1"/>
        <w:spacing w:line="0" w:lineRule="atLeast"/>
        <w:jc w:val="both"/>
        <w:rPr>
          <w:rFonts w:eastAsia="標楷體"/>
          <w:color w:val="000000"/>
        </w:rPr>
      </w:pPr>
      <w:r w:rsidRPr="00B72BFC">
        <w:rPr>
          <w:rFonts w:eastAsia="標楷體"/>
          <w:color w:val="000000"/>
        </w:rPr>
        <w:t xml:space="preserve">Students who meet the requirements in Section 2 by taking the respective test on their own initiative during their studies at NCTU may apply for an exemption from any remaining required courses for </w:t>
      </w:r>
      <w:r w:rsidRPr="00B72BFC">
        <w:rPr>
          <w:rFonts w:eastAsia="標楷體"/>
          <w:color w:val="000000"/>
        </w:rPr>
        <w:lastRenderedPageBreak/>
        <w:t>foreign language credits by presenting relevant certification.</w:t>
      </w:r>
    </w:p>
    <w:p w:rsidR="00104E7A" w:rsidRPr="00B72BFC" w:rsidRDefault="00104E7A" w:rsidP="00104E7A">
      <w:pPr>
        <w:pStyle w:val="1"/>
        <w:spacing w:line="0" w:lineRule="atLeast"/>
        <w:jc w:val="both"/>
        <w:rPr>
          <w:rFonts w:eastAsia="標楷體"/>
          <w:color w:val="000000"/>
        </w:rPr>
      </w:pPr>
    </w:p>
    <w:p w:rsidR="00104E7A" w:rsidRPr="00B72BFC" w:rsidRDefault="00104E7A" w:rsidP="00104E7A">
      <w:pPr>
        <w:numPr>
          <w:ilvl w:val="0"/>
          <w:numId w:val="3"/>
        </w:numPr>
        <w:spacing w:line="0" w:lineRule="atLeast"/>
        <w:jc w:val="both"/>
        <w:rPr>
          <w:rFonts w:eastAsia="標楷體"/>
          <w:color w:val="000000"/>
        </w:rPr>
      </w:pPr>
      <w:r w:rsidRPr="00B72BFC">
        <w:rPr>
          <w:rFonts w:eastAsia="標楷體" w:hAnsi="標楷體" w:hint="eastAsia"/>
          <w:color w:val="000000"/>
        </w:rPr>
        <w:t>聽語障礙學生得於入學後持醫院證明至語言教學與研究中心申請，由中心改以個別之適性評量方式施測之。</w:t>
      </w:r>
    </w:p>
    <w:p w:rsidR="00104E7A" w:rsidRPr="00B72BFC" w:rsidRDefault="00104E7A" w:rsidP="00104E7A">
      <w:pPr>
        <w:pStyle w:val="1"/>
        <w:spacing w:line="0" w:lineRule="atLeast"/>
        <w:jc w:val="both"/>
        <w:rPr>
          <w:rFonts w:eastAsia="標楷體"/>
          <w:color w:val="000000"/>
        </w:rPr>
      </w:pPr>
      <w:r w:rsidRPr="00B72BFC">
        <w:rPr>
          <w:rFonts w:eastAsia="標楷體"/>
          <w:color w:val="000000"/>
        </w:rPr>
        <w:t xml:space="preserve">Upon admission to NCTU, students with hearing or speech impairment may apply to the LTRC for individual adaptive assessments by presenting relevant medical documents issued by a hospital. </w:t>
      </w:r>
    </w:p>
    <w:p w:rsidR="00104E7A" w:rsidRPr="00B72BFC" w:rsidRDefault="00104E7A" w:rsidP="00104E7A">
      <w:pPr>
        <w:pStyle w:val="1"/>
        <w:spacing w:line="0" w:lineRule="atLeast"/>
        <w:jc w:val="both"/>
        <w:rPr>
          <w:rFonts w:eastAsia="標楷體"/>
          <w:color w:val="000000"/>
        </w:rPr>
      </w:pPr>
    </w:p>
    <w:p w:rsidR="00104E7A" w:rsidRPr="00B72BFC" w:rsidRDefault="00104E7A" w:rsidP="00B72BFC">
      <w:pPr>
        <w:numPr>
          <w:ilvl w:val="0"/>
          <w:numId w:val="3"/>
        </w:numPr>
        <w:tabs>
          <w:tab w:val="clear" w:pos="480"/>
          <w:tab w:val="num" w:pos="720"/>
        </w:tabs>
        <w:spacing w:line="0" w:lineRule="atLeast"/>
        <w:jc w:val="both"/>
        <w:rPr>
          <w:rFonts w:eastAsia="標楷體"/>
          <w:color w:val="000000"/>
        </w:rPr>
      </w:pPr>
      <w:r w:rsidRPr="00B72BFC">
        <w:rPr>
          <w:rFonts w:eastAsia="標楷體" w:hAnsi="標楷體" w:hint="eastAsia"/>
          <w:color w:val="000000"/>
        </w:rPr>
        <w:t>轉學生於入學時提出本辦法第五條規定所列英文能力檢定考試相關證明，再依據考試成績修習相關外語課程。</w:t>
      </w:r>
    </w:p>
    <w:p w:rsidR="00104E7A" w:rsidRPr="00B72BFC" w:rsidRDefault="00104E7A" w:rsidP="00104E7A">
      <w:pPr>
        <w:pStyle w:val="1"/>
        <w:spacing w:line="0" w:lineRule="atLeast"/>
        <w:jc w:val="both"/>
        <w:rPr>
          <w:rFonts w:eastAsia="標楷體"/>
          <w:color w:val="000000"/>
        </w:rPr>
      </w:pPr>
      <w:r w:rsidRPr="00B72BFC">
        <w:rPr>
          <w:rFonts w:eastAsia="標楷體"/>
          <w:color w:val="000000"/>
        </w:rPr>
        <w:t>Transfer students who have taken any test listed in Section 5 at the time of being admitted to NCTU should take the respective foreign language courses according to their test results.</w:t>
      </w:r>
    </w:p>
    <w:p w:rsidR="00104E7A" w:rsidRPr="00B72BFC" w:rsidRDefault="00104E7A" w:rsidP="00104E7A">
      <w:pPr>
        <w:pStyle w:val="1"/>
        <w:spacing w:line="0" w:lineRule="atLeast"/>
        <w:jc w:val="both"/>
        <w:rPr>
          <w:rFonts w:eastAsia="標楷體"/>
          <w:color w:val="000000"/>
        </w:rPr>
      </w:pPr>
    </w:p>
    <w:p w:rsidR="00104E7A" w:rsidRPr="00B72BFC" w:rsidRDefault="00104E7A" w:rsidP="00B72BFC">
      <w:pPr>
        <w:numPr>
          <w:ilvl w:val="0"/>
          <w:numId w:val="3"/>
        </w:numPr>
        <w:tabs>
          <w:tab w:val="clear" w:pos="480"/>
          <w:tab w:val="num" w:pos="720"/>
        </w:tabs>
        <w:spacing w:line="0" w:lineRule="atLeast"/>
        <w:jc w:val="both"/>
        <w:rPr>
          <w:rFonts w:eastAsia="標楷體"/>
          <w:color w:val="000000"/>
        </w:rPr>
      </w:pPr>
      <w:r w:rsidRPr="00B72BFC">
        <w:rPr>
          <w:rFonts w:eastAsia="標楷體" w:hAnsi="標楷體" w:hint="eastAsia"/>
          <w:color w:val="000000"/>
        </w:rPr>
        <w:t>外國學生、僑生及駐外人員子女若持相關外語能力證明可至語言教學與研究中心申請抵免英語或第二外語課程，由中心開會審查。</w:t>
      </w:r>
    </w:p>
    <w:p w:rsidR="00104E7A" w:rsidRPr="00B72BFC" w:rsidRDefault="00104E7A" w:rsidP="00104E7A">
      <w:pPr>
        <w:spacing w:line="0" w:lineRule="atLeast"/>
        <w:ind w:left="482"/>
        <w:jc w:val="both"/>
        <w:rPr>
          <w:rFonts w:eastAsia="標楷體"/>
          <w:color w:val="000000"/>
        </w:rPr>
      </w:pPr>
      <w:r w:rsidRPr="00B72BFC">
        <w:rPr>
          <w:rFonts w:eastAsia="標楷體"/>
          <w:color w:val="000000"/>
        </w:rPr>
        <w:t>International students, overseas Chinese students and children of ROC overseas representatives may apply to the LTRC for exemption from the English or second foreign language course requirements by presenting relevant certification. Their applications will be reviewed by the LTRC at respective meetings.</w:t>
      </w:r>
    </w:p>
    <w:p w:rsidR="00104E7A" w:rsidRPr="00B72BFC" w:rsidRDefault="00104E7A" w:rsidP="00104E7A">
      <w:pPr>
        <w:spacing w:line="0" w:lineRule="atLeast"/>
        <w:jc w:val="both"/>
        <w:rPr>
          <w:rFonts w:eastAsia="標楷體"/>
          <w:color w:val="000000"/>
        </w:rPr>
      </w:pPr>
    </w:p>
    <w:p w:rsidR="00104E7A" w:rsidRPr="00B72BFC" w:rsidRDefault="00104E7A" w:rsidP="00B72BFC">
      <w:pPr>
        <w:numPr>
          <w:ilvl w:val="0"/>
          <w:numId w:val="3"/>
        </w:numPr>
        <w:tabs>
          <w:tab w:val="clear" w:pos="480"/>
          <w:tab w:val="num" w:pos="720"/>
        </w:tabs>
        <w:spacing w:line="0" w:lineRule="atLeast"/>
        <w:jc w:val="both"/>
        <w:rPr>
          <w:rFonts w:eastAsia="標楷體"/>
          <w:color w:val="000000"/>
        </w:rPr>
      </w:pPr>
      <w:r w:rsidRPr="00B72BFC">
        <w:rPr>
          <w:rFonts w:eastAsia="標楷體" w:hAnsi="標楷體" w:hint="eastAsia"/>
          <w:color w:val="000000"/>
        </w:rPr>
        <w:t>本辦法通過施行之前入學者仍依照其入學學年之外語學分要求，且須符合所屬各院、系之相關規定。</w:t>
      </w:r>
    </w:p>
    <w:p w:rsidR="00104E7A" w:rsidRPr="00B72BFC" w:rsidRDefault="00104E7A" w:rsidP="00104E7A">
      <w:pPr>
        <w:spacing w:line="0" w:lineRule="atLeast"/>
        <w:ind w:left="482"/>
        <w:jc w:val="both"/>
        <w:rPr>
          <w:rFonts w:eastAsia="標楷體"/>
          <w:color w:val="000000"/>
        </w:rPr>
      </w:pPr>
      <w:r w:rsidRPr="00B72BFC">
        <w:rPr>
          <w:rFonts w:eastAsia="標楷體"/>
          <w:color w:val="000000"/>
        </w:rPr>
        <w:t>Students admitted to NCTU prior the implementation of this policy should fulfill the foreign language credit requirements for their admission year and the requirements of their respective colleges and departments.</w:t>
      </w:r>
    </w:p>
    <w:p w:rsidR="00104E7A" w:rsidRPr="00B72BFC" w:rsidRDefault="00104E7A" w:rsidP="00104E7A">
      <w:pPr>
        <w:spacing w:line="0" w:lineRule="atLeast"/>
        <w:jc w:val="both"/>
        <w:rPr>
          <w:rFonts w:eastAsia="標楷體"/>
          <w:color w:val="000000"/>
        </w:rPr>
      </w:pPr>
    </w:p>
    <w:p w:rsidR="00104E7A" w:rsidRPr="00B72BFC" w:rsidRDefault="00104E7A" w:rsidP="00B72BFC">
      <w:pPr>
        <w:numPr>
          <w:ilvl w:val="0"/>
          <w:numId w:val="3"/>
        </w:numPr>
        <w:tabs>
          <w:tab w:val="clear" w:pos="480"/>
          <w:tab w:val="num" w:pos="720"/>
        </w:tabs>
        <w:spacing w:line="0" w:lineRule="atLeast"/>
        <w:jc w:val="both"/>
        <w:rPr>
          <w:rFonts w:eastAsia="標楷體"/>
          <w:color w:val="000000"/>
        </w:rPr>
      </w:pPr>
      <w:r w:rsidRPr="00B72BFC">
        <w:rPr>
          <w:rFonts w:eastAsia="標楷體" w:hAnsi="標楷體" w:hint="eastAsia"/>
          <w:color w:val="000000"/>
        </w:rPr>
        <w:t>本辦法經共同學科課程委員會及教務會議通過後施行，修訂時亦同。</w:t>
      </w:r>
    </w:p>
    <w:p w:rsidR="00104E7A" w:rsidRPr="00B72BFC" w:rsidRDefault="00104E7A" w:rsidP="00104E7A">
      <w:pPr>
        <w:spacing w:line="0" w:lineRule="atLeast"/>
        <w:ind w:left="482"/>
        <w:jc w:val="both"/>
        <w:rPr>
          <w:rFonts w:eastAsia="標楷體"/>
          <w:color w:val="000000"/>
        </w:rPr>
      </w:pPr>
      <w:r w:rsidRPr="00B72BFC">
        <w:rPr>
          <w:rFonts w:eastAsia="標楷體"/>
          <w:color w:val="000000"/>
        </w:rPr>
        <w:t>This Policy shall be implemented after approval by the respective course committee and at the Academic Affairs Meeting. Subsequent revisions shall follow the same procedure.</w:t>
      </w:r>
    </w:p>
    <w:p w:rsidR="00104E7A" w:rsidRPr="00D70D44" w:rsidRDefault="00104E7A" w:rsidP="00104E7A">
      <w:pPr>
        <w:spacing w:beforeLines="50" w:before="180" w:line="0" w:lineRule="atLeast"/>
        <w:ind w:left="480" w:hangingChars="200" w:hanging="480"/>
        <w:jc w:val="both"/>
        <w:rPr>
          <w:rFonts w:ascii="標楷體" w:eastAsia="標楷體" w:hAnsi="標楷體"/>
          <w:color w:val="000000"/>
        </w:rPr>
      </w:pPr>
    </w:p>
    <w:p w:rsidR="00FE6DF8" w:rsidRDefault="00FE6DF8"/>
    <w:sectPr w:rsidR="00FE6DF8" w:rsidSect="000C0F1F">
      <w:pgSz w:w="11906" w:h="16838" w:code="9"/>
      <w:pgMar w:top="851" w:right="851" w:bottom="851" w:left="851" w:header="851" w:footer="851" w:gutter="0"/>
      <w:pgNumType w:fmt="numberInDash" w:start="9"/>
      <w:cols w:space="425"/>
      <w:docGrid w:type="lines" w:linePitch="360" w:charSpace="9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0BA" w:rsidRDefault="004100BA">
      <w:r>
        <w:separator/>
      </w:r>
    </w:p>
  </w:endnote>
  <w:endnote w:type="continuationSeparator" w:id="0">
    <w:p w:rsidR="004100BA" w:rsidRDefault="0041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0BA" w:rsidRDefault="004100BA">
      <w:r>
        <w:separator/>
      </w:r>
    </w:p>
  </w:footnote>
  <w:footnote w:type="continuationSeparator" w:id="0">
    <w:p w:rsidR="004100BA" w:rsidRDefault="00410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21C5D"/>
    <w:multiLevelType w:val="hybridMultilevel"/>
    <w:tmpl w:val="BF604A60"/>
    <w:lvl w:ilvl="0" w:tplc="5E4E2FEC">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
    <w:nsid w:val="26776A31"/>
    <w:multiLevelType w:val="hybridMultilevel"/>
    <w:tmpl w:val="56765324"/>
    <w:lvl w:ilvl="0" w:tplc="5E4E2FEC">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nsid w:val="3D2E3BDB"/>
    <w:multiLevelType w:val="hybridMultilevel"/>
    <w:tmpl w:val="07802A6C"/>
    <w:lvl w:ilvl="0" w:tplc="225CA0A6">
      <w:start w:val="6"/>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3E7E265A"/>
    <w:multiLevelType w:val="hybridMultilevel"/>
    <w:tmpl w:val="99A03BCA"/>
    <w:lvl w:ilvl="0" w:tplc="282A3ADE">
      <w:start w:val="1"/>
      <w:numFmt w:val="taiwaneseCountingThousand"/>
      <w:lvlText w:val="%1、"/>
      <w:lvlJc w:val="left"/>
      <w:pPr>
        <w:tabs>
          <w:tab w:val="num" w:pos="480"/>
        </w:tabs>
        <w:ind w:left="480" w:hanging="480"/>
      </w:pPr>
      <w:rPr>
        <w:rFonts w:cs="Times New Roman" w:hint="default"/>
      </w:rPr>
    </w:lvl>
    <w:lvl w:ilvl="1" w:tplc="C9DEE7A0">
      <w:start w:val="1"/>
      <w:numFmt w:val="taiwaneseCountingThousand"/>
      <w:lvlText w:val="（%2）"/>
      <w:lvlJc w:val="left"/>
      <w:pPr>
        <w:tabs>
          <w:tab w:val="num" w:pos="1200"/>
        </w:tabs>
        <w:ind w:left="1200" w:hanging="720"/>
      </w:pPr>
      <w:rPr>
        <w:rFonts w:ascii="標楷體" w:eastAsia="標楷體" w:hAnsi="標楷體" w:cs="Times New Roman" w:hint="default"/>
        <w:b w:val="0"/>
        <w:bCs w:val="0"/>
        <w:i w:val="0"/>
        <w:iCs w:val="0"/>
        <w:caps w:val="0"/>
        <w:smallCaps w:val="0"/>
        <w:strike w:val="0"/>
        <w:dstrike w:val="0"/>
        <w:color w:val="000000"/>
        <w:spacing w:val="0"/>
        <w:w w:val="100"/>
        <w:kern w:val="2"/>
        <w:position w:val="0"/>
        <w:sz w:val="24"/>
        <w:u w:val="none"/>
        <w:effect w:val="none"/>
      </w:rPr>
    </w:lvl>
    <w:lvl w:ilvl="2" w:tplc="2C7CE99E">
      <w:start w:val="1"/>
      <w:numFmt w:val="taiwaneseCountingThousand"/>
      <w:lvlText w:val="(%3)"/>
      <w:lvlJc w:val="left"/>
      <w:pPr>
        <w:tabs>
          <w:tab w:val="num" w:pos="1560"/>
        </w:tabs>
        <w:ind w:left="1560" w:hanging="600"/>
      </w:pPr>
      <w:rPr>
        <w:rFonts w:cs="Times New Roman" w:hint="default"/>
        <w:color w:val="000000"/>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4E7A"/>
    <w:rsid w:val="0004132A"/>
    <w:rsid w:val="000C0F1F"/>
    <w:rsid w:val="00104E7A"/>
    <w:rsid w:val="001E4106"/>
    <w:rsid w:val="004100BA"/>
    <w:rsid w:val="004549F1"/>
    <w:rsid w:val="005138B7"/>
    <w:rsid w:val="005452F9"/>
    <w:rsid w:val="00570AC3"/>
    <w:rsid w:val="005E54FF"/>
    <w:rsid w:val="007B4172"/>
    <w:rsid w:val="00911B1F"/>
    <w:rsid w:val="009B1AC5"/>
    <w:rsid w:val="00A921C5"/>
    <w:rsid w:val="00B72BFC"/>
    <w:rsid w:val="00BC4227"/>
    <w:rsid w:val="00C65F1A"/>
    <w:rsid w:val="00CC3ACF"/>
    <w:rsid w:val="00EF18A8"/>
    <w:rsid w:val="00FB21D9"/>
    <w:rsid w:val="00FE6D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4E7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04E7A"/>
    <w:pPr>
      <w:tabs>
        <w:tab w:val="center" w:pos="4153"/>
        <w:tab w:val="right" w:pos="8306"/>
      </w:tabs>
      <w:snapToGrid w:val="0"/>
    </w:pPr>
    <w:rPr>
      <w:sz w:val="20"/>
      <w:szCs w:val="20"/>
    </w:rPr>
  </w:style>
  <w:style w:type="character" w:customStyle="1" w:styleId="a4">
    <w:name w:val="頁尾 字元"/>
    <w:link w:val="a3"/>
    <w:locked/>
    <w:rsid w:val="00104E7A"/>
    <w:rPr>
      <w:rFonts w:eastAsia="新細明體"/>
      <w:kern w:val="2"/>
      <w:lang w:val="en-US" w:eastAsia="zh-TW" w:bidi="ar-SA"/>
    </w:rPr>
  </w:style>
  <w:style w:type="paragraph" w:customStyle="1" w:styleId="1">
    <w:name w:val="清單段落1"/>
    <w:basedOn w:val="a"/>
    <w:rsid w:val="00104E7A"/>
    <w:pPr>
      <w:ind w:leftChars="200" w:left="480"/>
    </w:pPr>
  </w:style>
  <w:style w:type="paragraph" w:styleId="a5">
    <w:name w:val="header"/>
    <w:basedOn w:val="a"/>
    <w:rsid w:val="000C0F1F"/>
    <w:pPr>
      <w:tabs>
        <w:tab w:val="center" w:pos="4153"/>
        <w:tab w:val="right" w:pos="8306"/>
      </w:tabs>
      <w:snapToGrid w:val="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905</Words>
  <Characters>5165</Characters>
  <Application>Microsoft Office Word</Application>
  <DocSecurity>0</DocSecurity>
  <Lines>43</Lines>
  <Paragraphs>12</Paragraphs>
  <ScaleCrop>false</ScaleCrop>
  <Company> </Company>
  <LinksUpToDate>false</LinksUpToDate>
  <CharactersWithSpaces>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cp:lastModifiedBy>
  <cp:revision>9</cp:revision>
  <cp:lastPrinted>2017-08-14T08:19:00Z</cp:lastPrinted>
  <dcterms:created xsi:type="dcterms:W3CDTF">2016-07-22T06:23:00Z</dcterms:created>
  <dcterms:modified xsi:type="dcterms:W3CDTF">2017-08-14T08:19:00Z</dcterms:modified>
</cp:coreProperties>
</file>